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03A1C" w14:textId="6E13254F" w:rsidR="009B7EB3" w:rsidRDefault="002E309E" w:rsidP="009B7EB3">
      <w:pPr>
        <w:spacing w:before="100" w:beforeAutospacing="1" w:after="100" w:afterAutospacing="1" w:line="240" w:lineRule="auto"/>
        <w:rPr>
          <w:rFonts w:cstheme="minorHAnsi"/>
        </w:rPr>
      </w:pPr>
      <w:r>
        <w:rPr>
          <w:rFonts w:ascii="Glypha LT Std" w:hAnsi="Glypha LT Std" w:cs="Arial"/>
          <w:noProof/>
        </w:rPr>
        <w:drawing>
          <wp:anchor distT="0" distB="0" distL="114300" distR="114300" simplePos="0" relativeHeight="251664384" behindDoc="0" locked="0" layoutInCell="1" allowOverlap="1" wp14:anchorId="22D3460B" wp14:editId="20095CEF">
            <wp:simplePos x="0" y="0"/>
            <wp:positionH relativeFrom="column">
              <wp:posOffset>-590868</wp:posOffset>
            </wp:positionH>
            <wp:positionV relativeFrom="paragraph">
              <wp:posOffset>62230</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03A1D" w14:textId="3AA487D8" w:rsidR="009B7EB3" w:rsidRDefault="002E309E" w:rsidP="009B7EB3">
      <w:pPr>
        <w:spacing w:after="0" w:line="240" w:lineRule="auto"/>
      </w:pPr>
      <w:r>
        <w:rPr>
          <w:noProof/>
        </w:rPr>
        <mc:AlternateContent>
          <mc:Choice Requires="wps">
            <w:drawing>
              <wp:anchor distT="0" distB="0" distL="114300" distR="114300" simplePos="0" relativeHeight="251662336" behindDoc="0" locked="0" layoutInCell="1" allowOverlap="1" wp14:anchorId="6BD03A4A" wp14:editId="7219ED39">
                <wp:simplePos x="0" y="0"/>
                <wp:positionH relativeFrom="column">
                  <wp:posOffset>1262063</wp:posOffset>
                </wp:positionH>
                <wp:positionV relativeFrom="paragraph">
                  <wp:posOffset>-635</wp:posOffset>
                </wp:positionV>
                <wp:extent cx="4572000" cy="1257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w="9525">
                          <a:solidFill>
                            <a:srgbClr val="000000"/>
                          </a:solidFill>
                          <a:miter lim="800000"/>
                          <a:headEnd/>
                          <a:tailEnd/>
                        </a:ln>
                      </wps:spPr>
                      <wps:txbx>
                        <w:txbxContent>
                          <w:p w14:paraId="6BD03A4E" w14:textId="512A8F1A" w:rsidR="00F32966" w:rsidRDefault="00F32966" w:rsidP="00F32966">
                            <w:pPr>
                              <w:pStyle w:val="BodyText2"/>
                              <w:ind w:left="142"/>
                              <w:jc w:val="left"/>
                              <w:rPr>
                                <w:bCs/>
                              </w:rPr>
                            </w:pPr>
                            <w:r>
                              <w:rPr>
                                <w:b/>
                                <w:bCs/>
                              </w:rPr>
                              <w:t>Owner:</w:t>
                            </w:r>
                            <w:r>
                              <w:rPr>
                                <w:b/>
                                <w:bCs/>
                              </w:rPr>
                              <w:tab/>
                            </w:r>
                            <w:r>
                              <w:rPr>
                                <w:b/>
                                <w:bCs/>
                              </w:rPr>
                              <w:tab/>
                            </w:r>
                            <w:r w:rsidRPr="008474C8">
                              <w:rPr>
                                <w:bCs/>
                              </w:rPr>
                              <w:t>Karen Parker, Associ</w:t>
                            </w:r>
                            <w:r w:rsidR="002E309E">
                              <w:rPr>
                                <w:bCs/>
                              </w:rPr>
                              <w:t>ate Director of Human Resources</w:t>
                            </w:r>
                            <w:r>
                              <w:rPr>
                                <w:bCs/>
                              </w:rPr>
                              <w:t xml:space="preserve"> </w:t>
                            </w:r>
                          </w:p>
                          <w:p w14:paraId="6BD03A4F" w14:textId="77777777" w:rsidR="00F32966" w:rsidRDefault="00F32966" w:rsidP="00F32966">
                            <w:pPr>
                              <w:pStyle w:val="BodyText2"/>
                              <w:ind w:left="142"/>
                              <w:jc w:val="left"/>
                              <w:rPr>
                                <w:bCs/>
                              </w:rPr>
                            </w:pPr>
                            <w:r>
                              <w:rPr>
                                <w:b/>
                                <w:bCs/>
                              </w:rPr>
                              <w:t>Version number:</w:t>
                            </w:r>
                            <w:r>
                              <w:rPr>
                                <w:b/>
                                <w:bCs/>
                              </w:rPr>
                              <w:tab/>
                            </w:r>
                            <w:r>
                              <w:rPr>
                                <w:bCs/>
                              </w:rPr>
                              <w:t>1</w:t>
                            </w:r>
                          </w:p>
                          <w:p w14:paraId="6BD03A50" w14:textId="77777777" w:rsidR="00F32966" w:rsidRDefault="00F32966" w:rsidP="00F32966">
                            <w:pPr>
                              <w:pStyle w:val="BodyText2"/>
                              <w:ind w:left="142"/>
                              <w:jc w:val="left"/>
                              <w:rPr>
                                <w:bCs/>
                              </w:rPr>
                            </w:pPr>
                            <w:r>
                              <w:rPr>
                                <w:b/>
                                <w:bCs/>
                              </w:rPr>
                              <w:t>Date of approval:</w:t>
                            </w:r>
                            <w:r>
                              <w:rPr>
                                <w:b/>
                                <w:bCs/>
                              </w:rPr>
                              <w:tab/>
                            </w:r>
                            <w:r>
                              <w:rPr>
                                <w:bCs/>
                              </w:rPr>
                              <w:t>September 2014</w:t>
                            </w:r>
                          </w:p>
                          <w:p w14:paraId="6BD03A51" w14:textId="77777777" w:rsidR="00F32966" w:rsidRDefault="00F32966" w:rsidP="00F32966">
                            <w:pPr>
                              <w:pStyle w:val="BodyText2"/>
                              <w:ind w:left="142"/>
                              <w:jc w:val="left"/>
                              <w:rPr>
                                <w:bCs/>
                              </w:rPr>
                            </w:pPr>
                            <w:r>
                              <w:rPr>
                                <w:b/>
                                <w:bCs/>
                              </w:rPr>
                              <w:t xml:space="preserve">Approved by: </w:t>
                            </w:r>
                            <w:r>
                              <w:rPr>
                                <w:b/>
                                <w:bCs/>
                              </w:rPr>
                              <w:tab/>
                            </w:r>
                            <w:r>
                              <w:rPr>
                                <w:bCs/>
                              </w:rPr>
                              <w:t>UET</w:t>
                            </w:r>
                          </w:p>
                          <w:p w14:paraId="6BD03A52" w14:textId="77777777" w:rsidR="00F32966" w:rsidRDefault="00F32966" w:rsidP="00F32966">
                            <w:pPr>
                              <w:pStyle w:val="BodyText2"/>
                              <w:ind w:left="142"/>
                              <w:jc w:val="left"/>
                              <w:rPr>
                                <w:bCs/>
                              </w:rPr>
                            </w:pPr>
                            <w:r>
                              <w:rPr>
                                <w:b/>
                                <w:bCs/>
                              </w:rPr>
                              <w:t>Effective date:</w:t>
                            </w:r>
                            <w:r>
                              <w:rPr>
                                <w:bCs/>
                              </w:rPr>
                              <w:tab/>
                              <w:t>1 September 2014</w:t>
                            </w:r>
                          </w:p>
                          <w:p w14:paraId="6BD03A53" w14:textId="77777777" w:rsidR="00F32966" w:rsidRDefault="00F32966" w:rsidP="00F32966">
                            <w:pPr>
                              <w:pStyle w:val="BodyText2"/>
                              <w:ind w:left="142"/>
                              <w:jc w:val="left"/>
                              <w:rPr>
                                <w:bCs/>
                              </w:rPr>
                            </w:pPr>
                            <w:r>
                              <w:rPr>
                                <w:b/>
                                <w:bCs/>
                              </w:rPr>
                              <w:t>Date of last review:</w:t>
                            </w:r>
                            <w:r>
                              <w:rPr>
                                <w:b/>
                                <w:bCs/>
                              </w:rPr>
                              <w:tab/>
                            </w:r>
                            <w:r>
                              <w:rPr>
                                <w:bCs/>
                              </w:rPr>
                              <w:t>New</w:t>
                            </w:r>
                          </w:p>
                          <w:p w14:paraId="6BD03A54" w14:textId="77777777" w:rsidR="00F32966" w:rsidRDefault="00F32966" w:rsidP="00F32966">
                            <w:pPr>
                              <w:pStyle w:val="BodyText2"/>
                              <w:ind w:left="142"/>
                              <w:jc w:val="left"/>
                              <w:rPr>
                                <w:bCs/>
                              </w:rPr>
                            </w:pPr>
                            <w:r>
                              <w:rPr>
                                <w:b/>
                                <w:bCs/>
                              </w:rPr>
                              <w:t>Due for review:</w:t>
                            </w:r>
                            <w:r>
                              <w:rPr>
                                <w:bCs/>
                              </w:rPr>
                              <w:tab/>
                              <w:t>31 August 2015</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4pt;margin-top:-.05pt;width:5in;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02JgIAAFEEAAAOAAAAZHJzL2Uyb0RvYy54bWysVNtu2zAMfR+wfxD0vjhJl6Yz4hRdugwD&#10;ugvQ7gNoWbaFyaImKbGzry8lp2m6YS/D/CCIEnl4eEh5dT10mu2l8wpNwWeTKWfSCKyUaQr+/WH7&#10;5oozH8BUoNHIgh+k59fr169Wvc3lHFvUlXSMQIzPe1vwNgSbZ5kXrezAT9BKQ5c1ug4Cma7JKgc9&#10;oXc6m0+nl1mPrrIOhfSeTm/HS75O+HUtRfha114GpgtO3EJaXVrLuGbrFeSNA9sqcaQB/8CiA2Uo&#10;6QnqFgKwnVN/QHVKOPRYh4nALsO6VkKmGqia2fS3au5bsDLVQuJ4e5LJ/z9Y8WX/zTFVFXzJmYGO&#10;WvQgh8De48DmUZ3e+pyc7i25hYGOqcupUm/vUPzwzOCmBdPIG+ewbyVUxG4WI7Oz0BHHR5Cy/4wV&#10;pYFdwAQ01K6L0pEYjNCpS4dTZyIVQYdvF0vqNl0JupvNF8sLMmIOyJ/CrfPho8SOxU3BHbU+wcP+&#10;zofR9cklZvOoVbVVWifDNeVGO7YHGpNt+o7oL9y0YX3B3y3mi1GBv0IQ1ch2zPoColOB5l2rruBX&#10;JyfIo24fTEUBkAdQetxTddochYzajSqGoRzIMapbYnUgSR2Oc03vkDYtul+c9TTTBfc/d+AkZ/qT&#10;obZcXEZWLJwb7twozw0wgqAKHjgbt5swPpyddappKdM4CAZvqJW1SiI/szryprlNbTq+sfgwzu3k&#10;9fwnWD8CAAD//wMAUEsDBBQABgAIAAAAIQApoflT3gAAAAkBAAAPAAAAZHJzL2Rvd25yZXYueG1s&#10;TI9Na4NAEIbvhf6HZQq9JaulJNG6BinkEPoBSQvJceNOVerOirsa++87ntrjyzO87zPZdrKtGLH3&#10;jSMF8TICgVQ601Cl4PNjt9iA8EGT0a0jVPCDHrb57U2mU+OudMDxGCrBJeRTraAOoUul9GWNVvul&#10;65CYfbne6sCxr6Tp9ZXLbSsfomglrW6IF2rd4XON5fdxsAp0tRrfzuvmcX/YnYrXffEevwyo1P3d&#10;VDyBCDiFv2OY9Vkdcna6uIGMFy3nZMPqQcEiBsE8ied8mcE6AZln8v8H+S8AAAD//wMAUEsBAi0A&#10;FAAGAAgAAAAhALaDOJL+AAAA4QEAABMAAAAAAAAAAAAAAAAAAAAAAFtDb250ZW50X1R5cGVzXS54&#10;bWxQSwECLQAUAAYACAAAACEAOP0h/9YAAACUAQAACwAAAAAAAAAAAAAAAAAvAQAAX3JlbHMvLnJl&#10;bHNQSwECLQAUAAYACAAAACEAjsatNiYCAABRBAAADgAAAAAAAAAAAAAAAAAuAgAAZHJzL2Uyb0Rv&#10;Yy54bWxQSwECLQAUAAYACAAAACEAKaH5U94AAAAJAQAADwAAAAAAAAAAAAAAAACABAAAZHJzL2Rv&#10;d25yZXYueG1sUEsFBgAAAAAEAAQA8wAAAIsFAAAAAA==&#10;">
                <v:textbox inset="1mm,1mm,1mm,1mm">
                  <w:txbxContent>
                    <w:p w14:paraId="6BD03A4E" w14:textId="512A8F1A" w:rsidR="00F32966" w:rsidRDefault="00F32966" w:rsidP="00F32966">
                      <w:pPr>
                        <w:pStyle w:val="BodyText2"/>
                        <w:ind w:left="142"/>
                        <w:jc w:val="left"/>
                        <w:rPr>
                          <w:bCs/>
                        </w:rPr>
                      </w:pPr>
                      <w:r>
                        <w:rPr>
                          <w:b/>
                          <w:bCs/>
                        </w:rPr>
                        <w:t>Owner:</w:t>
                      </w:r>
                      <w:r>
                        <w:rPr>
                          <w:b/>
                          <w:bCs/>
                        </w:rPr>
                        <w:tab/>
                      </w:r>
                      <w:r>
                        <w:rPr>
                          <w:b/>
                          <w:bCs/>
                        </w:rPr>
                        <w:tab/>
                      </w:r>
                      <w:r w:rsidRPr="008474C8">
                        <w:rPr>
                          <w:bCs/>
                        </w:rPr>
                        <w:t>Karen Parker, Associ</w:t>
                      </w:r>
                      <w:r w:rsidR="002E309E">
                        <w:rPr>
                          <w:bCs/>
                        </w:rPr>
                        <w:t>ate Director of Human Resources</w:t>
                      </w:r>
                      <w:r>
                        <w:rPr>
                          <w:bCs/>
                        </w:rPr>
                        <w:t xml:space="preserve"> </w:t>
                      </w:r>
                    </w:p>
                    <w:p w14:paraId="6BD03A4F" w14:textId="77777777" w:rsidR="00F32966" w:rsidRDefault="00F32966" w:rsidP="00F32966">
                      <w:pPr>
                        <w:pStyle w:val="BodyText2"/>
                        <w:ind w:left="142"/>
                        <w:jc w:val="left"/>
                        <w:rPr>
                          <w:bCs/>
                        </w:rPr>
                      </w:pPr>
                      <w:r>
                        <w:rPr>
                          <w:b/>
                          <w:bCs/>
                        </w:rPr>
                        <w:t>Version number:</w:t>
                      </w:r>
                      <w:r>
                        <w:rPr>
                          <w:b/>
                          <w:bCs/>
                        </w:rPr>
                        <w:tab/>
                      </w:r>
                      <w:r>
                        <w:rPr>
                          <w:bCs/>
                        </w:rPr>
                        <w:t>1</w:t>
                      </w:r>
                    </w:p>
                    <w:p w14:paraId="6BD03A50" w14:textId="77777777" w:rsidR="00F32966" w:rsidRDefault="00F32966" w:rsidP="00F32966">
                      <w:pPr>
                        <w:pStyle w:val="BodyText2"/>
                        <w:ind w:left="142"/>
                        <w:jc w:val="left"/>
                        <w:rPr>
                          <w:bCs/>
                        </w:rPr>
                      </w:pPr>
                      <w:r>
                        <w:rPr>
                          <w:b/>
                          <w:bCs/>
                        </w:rPr>
                        <w:t>Date of approval:</w:t>
                      </w:r>
                      <w:r>
                        <w:rPr>
                          <w:b/>
                          <w:bCs/>
                        </w:rPr>
                        <w:tab/>
                      </w:r>
                      <w:r>
                        <w:rPr>
                          <w:bCs/>
                        </w:rPr>
                        <w:t>September 2014</w:t>
                      </w:r>
                    </w:p>
                    <w:p w14:paraId="6BD03A51" w14:textId="77777777" w:rsidR="00F32966" w:rsidRDefault="00F32966" w:rsidP="00F32966">
                      <w:pPr>
                        <w:pStyle w:val="BodyText2"/>
                        <w:ind w:left="142"/>
                        <w:jc w:val="left"/>
                        <w:rPr>
                          <w:bCs/>
                        </w:rPr>
                      </w:pPr>
                      <w:r>
                        <w:rPr>
                          <w:b/>
                          <w:bCs/>
                        </w:rPr>
                        <w:t xml:space="preserve">Approved by: </w:t>
                      </w:r>
                      <w:r>
                        <w:rPr>
                          <w:b/>
                          <w:bCs/>
                        </w:rPr>
                        <w:tab/>
                      </w:r>
                      <w:r>
                        <w:rPr>
                          <w:bCs/>
                        </w:rPr>
                        <w:t>UET</w:t>
                      </w:r>
                    </w:p>
                    <w:p w14:paraId="6BD03A52" w14:textId="77777777" w:rsidR="00F32966" w:rsidRDefault="00F32966" w:rsidP="00F32966">
                      <w:pPr>
                        <w:pStyle w:val="BodyText2"/>
                        <w:ind w:left="142"/>
                        <w:jc w:val="left"/>
                        <w:rPr>
                          <w:bCs/>
                        </w:rPr>
                      </w:pPr>
                      <w:r>
                        <w:rPr>
                          <w:b/>
                          <w:bCs/>
                        </w:rPr>
                        <w:t>Effective date:</w:t>
                      </w:r>
                      <w:r>
                        <w:rPr>
                          <w:bCs/>
                        </w:rPr>
                        <w:tab/>
                        <w:t>1 September 2014</w:t>
                      </w:r>
                    </w:p>
                    <w:p w14:paraId="6BD03A53" w14:textId="77777777" w:rsidR="00F32966" w:rsidRDefault="00F32966" w:rsidP="00F32966">
                      <w:pPr>
                        <w:pStyle w:val="BodyText2"/>
                        <w:ind w:left="142"/>
                        <w:jc w:val="left"/>
                        <w:rPr>
                          <w:bCs/>
                        </w:rPr>
                      </w:pPr>
                      <w:r>
                        <w:rPr>
                          <w:b/>
                          <w:bCs/>
                        </w:rPr>
                        <w:t>Date of last review:</w:t>
                      </w:r>
                      <w:r>
                        <w:rPr>
                          <w:b/>
                          <w:bCs/>
                        </w:rPr>
                        <w:tab/>
                      </w:r>
                      <w:r>
                        <w:rPr>
                          <w:bCs/>
                        </w:rPr>
                        <w:t>New</w:t>
                      </w:r>
                    </w:p>
                    <w:p w14:paraId="6BD03A54" w14:textId="77777777" w:rsidR="00F32966" w:rsidRDefault="00F32966" w:rsidP="00F32966">
                      <w:pPr>
                        <w:pStyle w:val="BodyText2"/>
                        <w:ind w:left="142"/>
                        <w:jc w:val="left"/>
                        <w:rPr>
                          <w:bCs/>
                        </w:rPr>
                      </w:pPr>
                      <w:r>
                        <w:rPr>
                          <w:b/>
                          <w:bCs/>
                        </w:rPr>
                        <w:t>Due for review:</w:t>
                      </w:r>
                      <w:r>
                        <w:rPr>
                          <w:bCs/>
                        </w:rPr>
                        <w:tab/>
                        <w:t>31 August 2015</w:t>
                      </w:r>
                    </w:p>
                  </w:txbxContent>
                </v:textbox>
              </v:shape>
            </w:pict>
          </mc:Fallback>
        </mc:AlternateContent>
      </w:r>
    </w:p>
    <w:p w14:paraId="6BD03A1E" w14:textId="77777777" w:rsidR="009B7EB3" w:rsidRDefault="009B7EB3" w:rsidP="009B7EB3">
      <w:pPr>
        <w:spacing w:after="0" w:line="240" w:lineRule="auto"/>
      </w:pPr>
    </w:p>
    <w:p w14:paraId="6BD03A1F" w14:textId="460FFABE" w:rsidR="009B7EB3" w:rsidRDefault="009B7EB3" w:rsidP="009B7EB3">
      <w:pPr>
        <w:spacing w:after="0" w:line="240" w:lineRule="auto"/>
      </w:pPr>
      <w:r>
        <w:rPr>
          <w:noProof/>
        </w:rPr>
        <mc:AlternateContent>
          <mc:Choice Requires="wps">
            <w:drawing>
              <wp:anchor distT="0" distB="0" distL="114300" distR="114300" simplePos="0" relativeHeight="251661312" behindDoc="0" locked="0" layoutInCell="1" allowOverlap="1" wp14:anchorId="6BD03A4C" wp14:editId="6BD03A4D">
                <wp:simplePos x="0" y="0"/>
                <wp:positionH relativeFrom="column">
                  <wp:posOffset>-1073150</wp:posOffset>
                </wp:positionH>
                <wp:positionV relativeFrom="paragraph">
                  <wp:posOffset>-909955</wp:posOffset>
                </wp:positionV>
                <wp:extent cx="2164715" cy="2225040"/>
                <wp:effectExtent l="0" t="0" r="6985" b="381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225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03A55" w14:textId="33BEEF54" w:rsidR="009B7EB3" w:rsidRDefault="009B7EB3" w:rsidP="009B7EB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4.5pt;margin-top:-71.65pt;width:170.45pt;height:17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LLggIAABU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gxE&#10;KdIDRfd89OhKj+hNqM5gXAVOdwbc/AjbwHLM1JlbTb86pPR1R9SWX1qrh44TBtFl4WRycnTCcQFk&#10;M3zQDK4hD15HoLG1fSgdFAMBOrD0eGQmhEJhM88WxTKbY0TBluf5PC0idwmpDseNdf4d1z0Kkxpb&#10;oD7Ck92t8yEcUh1cwm1OS8EaIWVc2O3mWlq0IyCTJn4xgxduUgVnpcOxCXHagSjhjmAL8Ubav5dZ&#10;XqRXeTlrFqvlrGiK+axcpqtZmpVX5SItyuKmeQoBZkXVCca4uhWKHySYFX9H8b4ZJvFEEaKhxuU8&#10;n08c/THJNH6/S7IXHjpSih4kcXQiVWD2rWKQNqk8EXKaJz+HH6sMNTj8Y1WiDgL1kwj8uBmj4KJI&#10;gkY2mj2CMKwG2oB9eE1g0mn7DaMBOrPGCp4OjOR7BdIqswKoRz4uivkyh4U9tWxOLURRAKqxx2ia&#10;Xvup+R+MFdsO7jmI+RLk2IgolOeY9iKG3osZ7d+J0Nyn6+j1/JqtfwAAAP//AwBQSwMEFAAGAAgA&#10;AAAhABW4QLziAAAADQEAAA8AAABkcnMvZG93bnJldi54bWxMj1FLwzAUhd8F/0O4gm9b2lVaW5sO&#10;UQSHMNj0B6TpXVtsbmqSrfXfL33St3M5h3O/U25nPbALWtcbEhCvI2BIyjQ9tQK+Pt9Wj8Ccl9TI&#10;wRAK+EUH2+r2ppRFYyY64OXoWxZKyBVSQOf9WHDuVIdaurUZkYJ3MlZLH07b8sbKKZTrgW+iKOVa&#10;9hQ+dHLElw7V9/GsBbz2tv5RJnlPs49c7Q/uNO32XIj7u/n5CZjH2f+FYcEP6FAFptqcqXFsELCK&#10;0zyM8Yt6SBJgSyaLc2C1gE2UxcCrkv9fUV0BAAD//wMAUEsBAi0AFAAGAAgAAAAhALaDOJL+AAAA&#10;4QEAABMAAAAAAAAAAAAAAAAAAAAAAFtDb250ZW50X1R5cGVzXS54bWxQSwECLQAUAAYACAAAACEA&#10;OP0h/9YAAACUAQAACwAAAAAAAAAAAAAAAAAvAQAAX3JlbHMvLnJlbHNQSwECLQAUAAYACAAAACEA&#10;klqiy4ICAAAVBQAADgAAAAAAAAAAAAAAAAAuAgAAZHJzL2Uyb0RvYy54bWxQSwECLQAUAAYACAAA&#10;ACEAFbhAvOIAAAANAQAADwAAAAAAAAAAAAAAAADcBAAAZHJzL2Rvd25yZXYueG1sUEsFBgAAAAAE&#10;AAQA8wAAAOsFAAAAAA==&#10;" stroked="f">
                <v:textbox style="mso-fit-shape-to-text:t">
                  <w:txbxContent>
                    <w:p w14:paraId="6BD03A55" w14:textId="33BEEF54" w:rsidR="009B7EB3" w:rsidRDefault="009B7EB3" w:rsidP="009B7EB3"/>
                  </w:txbxContent>
                </v:textbox>
                <w10:wrap type="square"/>
              </v:shape>
            </w:pict>
          </mc:Fallback>
        </mc:AlternateContent>
      </w:r>
    </w:p>
    <w:p w14:paraId="6BD03A20" w14:textId="77777777" w:rsidR="009B7EB3" w:rsidRDefault="009B7EB3" w:rsidP="009B7EB3">
      <w:pPr>
        <w:spacing w:after="0" w:line="240" w:lineRule="auto"/>
      </w:pPr>
    </w:p>
    <w:p w14:paraId="6BD03A21" w14:textId="77777777" w:rsidR="009B7EB3" w:rsidRDefault="009B7EB3" w:rsidP="009B7EB3">
      <w:pPr>
        <w:spacing w:after="0" w:line="240" w:lineRule="auto"/>
      </w:pPr>
    </w:p>
    <w:p w14:paraId="6BD03A22" w14:textId="77777777" w:rsidR="009B7EB3" w:rsidRDefault="009B7EB3" w:rsidP="009B7EB3">
      <w:pPr>
        <w:spacing w:after="0" w:line="240" w:lineRule="auto"/>
      </w:pPr>
    </w:p>
    <w:p w14:paraId="6BD03A23" w14:textId="77777777" w:rsidR="009B7EB3" w:rsidRDefault="009B7EB3" w:rsidP="009B7EB3">
      <w:pPr>
        <w:spacing w:after="0" w:line="240" w:lineRule="auto"/>
        <w:rPr>
          <w:rFonts w:ascii="Arial" w:hAnsi="Arial" w:cs="Arial"/>
          <w:b/>
          <w:bCs/>
          <w:sz w:val="24"/>
          <w:szCs w:val="24"/>
        </w:rPr>
      </w:pPr>
    </w:p>
    <w:p w14:paraId="6BD03A24" w14:textId="77777777" w:rsidR="009B7EB3" w:rsidRDefault="009B7EB3" w:rsidP="009B7EB3">
      <w:pPr>
        <w:spacing w:after="0" w:line="240" w:lineRule="auto"/>
        <w:rPr>
          <w:rFonts w:ascii="Arial" w:hAnsi="Arial" w:cs="Arial"/>
          <w:b/>
          <w:bCs/>
          <w:sz w:val="24"/>
          <w:szCs w:val="24"/>
        </w:rPr>
      </w:pPr>
    </w:p>
    <w:p w14:paraId="6BD03A25" w14:textId="77777777" w:rsidR="009B7EB3" w:rsidRDefault="009B7EB3" w:rsidP="009B7EB3">
      <w:pPr>
        <w:spacing w:after="0" w:line="240" w:lineRule="auto"/>
        <w:rPr>
          <w:rFonts w:ascii="Arial" w:hAnsi="Arial" w:cs="Arial"/>
          <w:b/>
          <w:bCs/>
          <w:sz w:val="24"/>
          <w:szCs w:val="24"/>
        </w:rPr>
      </w:pPr>
    </w:p>
    <w:p w14:paraId="6BD03A26" w14:textId="77777777" w:rsidR="009B7EB3" w:rsidRDefault="009B7EB3" w:rsidP="009B7EB3">
      <w:pPr>
        <w:spacing w:after="0" w:line="240" w:lineRule="auto"/>
        <w:rPr>
          <w:rFonts w:ascii="Arial" w:hAnsi="Arial" w:cs="Arial"/>
          <w:b/>
          <w:bCs/>
          <w:sz w:val="24"/>
          <w:szCs w:val="24"/>
        </w:rPr>
      </w:pPr>
    </w:p>
    <w:p w14:paraId="6BD03A27" w14:textId="77777777" w:rsidR="009B7EB3" w:rsidRDefault="00AC20F7" w:rsidP="009B7EB3">
      <w:pPr>
        <w:spacing w:after="0" w:line="240" w:lineRule="auto"/>
        <w:rPr>
          <w:rFonts w:ascii="Arial" w:hAnsi="Arial" w:cs="Arial"/>
          <w:b/>
          <w:bCs/>
          <w:sz w:val="32"/>
          <w:szCs w:val="32"/>
        </w:rPr>
      </w:pPr>
      <w:r>
        <w:rPr>
          <w:rFonts w:ascii="Arial" w:hAnsi="Arial" w:cs="Arial"/>
          <w:b/>
          <w:bCs/>
          <w:sz w:val="32"/>
          <w:szCs w:val="32"/>
        </w:rPr>
        <w:t>Relocation Policy</w:t>
      </w:r>
    </w:p>
    <w:p w14:paraId="6BD03A28" w14:textId="77777777" w:rsidR="009B7EB3" w:rsidRPr="00490EFD" w:rsidRDefault="009B7EB3" w:rsidP="009B7EB3">
      <w:pPr>
        <w:pStyle w:val="ListParagraph"/>
        <w:spacing w:after="0" w:line="240" w:lineRule="auto"/>
        <w:ind w:left="0"/>
        <w:rPr>
          <w:rFonts w:ascii="Arial" w:hAnsi="Arial" w:cs="Arial"/>
          <w:b/>
          <w:bCs/>
          <w:i/>
          <w:iCs/>
          <w:sz w:val="24"/>
          <w:szCs w:val="24"/>
        </w:rPr>
      </w:pPr>
    </w:p>
    <w:p w14:paraId="6BD03A29" w14:textId="77777777" w:rsidR="009B7EB3" w:rsidRPr="00506CA0" w:rsidRDefault="009B7EB3" w:rsidP="009B7EB3">
      <w:pPr>
        <w:pStyle w:val="ListParagraph"/>
        <w:spacing w:after="0" w:line="240" w:lineRule="auto"/>
        <w:ind w:left="0"/>
        <w:rPr>
          <w:rFonts w:ascii="Arial" w:hAnsi="Arial" w:cs="Arial"/>
          <w:b/>
          <w:bCs/>
          <w:i/>
          <w:iCs/>
        </w:rPr>
      </w:pPr>
    </w:p>
    <w:p w14:paraId="6BD03A2A" w14:textId="77777777" w:rsidR="009B7EB3" w:rsidRPr="000B2784" w:rsidRDefault="009B7EB3" w:rsidP="009B7EB3">
      <w:pPr>
        <w:pStyle w:val="ListParagraph"/>
        <w:numPr>
          <w:ilvl w:val="0"/>
          <w:numId w:val="14"/>
        </w:numPr>
        <w:spacing w:after="0" w:line="240" w:lineRule="auto"/>
        <w:ind w:left="709" w:hanging="709"/>
        <w:rPr>
          <w:rFonts w:ascii="Arial" w:hAnsi="Arial" w:cs="Arial"/>
          <w:b/>
          <w:bCs/>
          <w:i/>
          <w:iCs/>
        </w:rPr>
      </w:pPr>
      <w:r w:rsidRPr="000B2784">
        <w:rPr>
          <w:rFonts w:ascii="Arial" w:hAnsi="Arial" w:cs="Arial"/>
          <w:b/>
          <w:bCs/>
        </w:rPr>
        <w:t>SCOPE AND PURPOSE</w:t>
      </w:r>
    </w:p>
    <w:p w14:paraId="6BD03A2B" w14:textId="77777777" w:rsidR="009B7EB3" w:rsidRPr="00506CA0" w:rsidRDefault="009B7EB3" w:rsidP="009B7EB3">
      <w:pPr>
        <w:pStyle w:val="ListParagraph"/>
        <w:spacing w:after="0" w:line="240" w:lineRule="auto"/>
        <w:rPr>
          <w:rFonts w:ascii="Arial" w:hAnsi="Arial" w:cs="Arial"/>
          <w:b/>
          <w:bCs/>
          <w:i/>
          <w:iCs/>
        </w:rPr>
      </w:pPr>
    </w:p>
    <w:p w14:paraId="6BD03A2C" w14:textId="63C83DF9" w:rsidR="009B7EB3" w:rsidRPr="00506CA0" w:rsidRDefault="009B7EB3" w:rsidP="009B7EB3">
      <w:pPr>
        <w:spacing w:after="0" w:line="240" w:lineRule="auto"/>
        <w:rPr>
          <w:rFonts w:ascii="Arial" w:hAnsi="Arial" w:cs="Arial"/>
        </w:rPr>
      </w:pPr>
      <w:r w:rsidRPr="00506CA0">
        <w:rPr>
          <w:rFonts w:ascii="Arial" w:hAnsi="Arial" w:cs="Arial"/>
        </w:rPr>
        <w:t>Th</w:t>
      </w:r>
      <w:r>
        <w:rPr>
          <w:rFonts w:ascii="Arial" w:hAnsi="Arial" w:cs="Arial"/>
        </w:rPr>
        <w:t xml:space="preserve">e University will contribute to removal expenses </w:t>
      </w:r>
      <w:r w:rsidR="00D56492">
        <w:rPr>
          <w:rFonts w:ascii="Arial" w:hAnsi="Arial" w:cs="Arial"/>
        </w:rPr>
        <w:t xml:space="preserve">incurred directly by </w:t>
      </w:r>
      <w:r>
        <w:rPr>
          <w:rFonts w:ascii="Arial" w:hAnsi="Arial" w:cs="Arial"/>
        </w:rPr>
        <w:t>new members of staff</w:t>
      </w:r>
      <w:r w:rsidR="00D56492">
        <w:rPr>
          <w:rFonts w:ascii="Arial" w:hAnsi="Arial" w:cs="Arial"/>
        </w:rPr>
        <w:t>.  To qualify for relocation staff must</w:t>
      </w:r>
      <w:r w:rsidR="00AA0816">
        <w:rPr>
          <w:rFonts w:ascii="Arial" w:hAnsi="Arial" w:cs="Arial"/>
        </w:rPr>
        <w:t xml:space="preserve"> meet all three points below</w:t>
      </w:r>
      <w:r>
        <w:rPr>
          <w:rFonts w:ascii="Arial" w:hAnsi="Arial" w:cs="Arial"/>
        </w:rPr>
        <w:t>:</w:t>
      </w:r>
      <w:r w:rsidRPr="00506CA0">
        <w:rPr>
          <w:rFonts w:ascii="Arial" w:hAnsi="Arial" w:cs="Arial"/>
        </w:rPr>
        <w:t xml:space="preserve">  </w:t>
      </w:r>
    </w:p>
    <w:p w14:paraId="6BD03A2D" w14:textId="77777777" w:rsidR="009B7EB3" w:rsidRPr="00506CA0" w:rsidRDefault="009B7EB3" w:rsidP="009B7EB3">
      <w:pPr>
        <w:pStyle w:val="ListParagraph"/>
        <w:spacing w:after="0" w:line="240" w:lineRule="auto"/>
        <w:ind w:left="0" w:firstLine="720"/>
        <w:rPr>
          <w:rFonts w:ascii="Arial" w:hAnsi="Arial" w:cs="Arial"/>
          <w:b/>
          <w:bCs/>
          <w:i/>
          <w:iCs/>
        </w:rPr>
      </w:pPr>
    </w:p>
    <w:p w14:paraId="6BD03A2E" w14:textId="322E5226" w:rsidR="009B7EB3" w:rsidRPr="00995854" w:rsidRDefault="009B7EB3" w:rsidP="009B7EB3">
      <w:pPr>
        <w:pStyle w:val="ListParagraph"/>
        <w:numPr>
          <w:ilvl w:val="0"/>
          <w:numId w:val="15"/>
        </w:numPr>
        <w:tabs>
          <w:tab w:val="clear" w:pos="1080"/>
          <w:tab w:val="num" w:pos="720"/>
        </w:tabs>
        <w:spacing w:after="0" w:line="240" w:lineRule="auto"/>
        <w:ind w:left="720"/>
        <w:rPr>
          <w:rFonts w:ascii="Arial" w:hAnsi="Arial" w:cs="Arial"/>
          <w:b/>
          <w:bCs/>
          <w:i/>
          <w:iCs/>
        </w:rPr>
      </w:pPr>
      <w:r>
        <w:rPr>
          <w:rFonts w:ascii="Arial" w:hAnsi="Arial" w:cs="Arial"/>
          <w:bCs/>
          <w:iCs/>
        </w:rPr>
        <w:t>A</w:t>
      </w:r>
      <w:r w:rsidRPr="00506CA0">
        <w:rPr>
          <w:rFonts w:ascii="Arial" w:hAnsi="Arial" w:cs="Arial"/>
          <w:bCs/>
          <w:iCs/>
        </w:rPr>
        <w:t>ccept a position for two years duration or m</w:t>
      </w:r>
      <w:r w:rsidR="00A36EE2">
        <w:rPr>
          <w:rFonts w:ascii="Arial" w:hAnsi="Arial" w:cs="Arial"/>
          <w:bCs/>
          <w:iCs/>
        </w:rPr>
        <w:t>ore, which is University funded; and</w:t>
      </w:r>
    </w:p>
    <w:p w14:paraId="6BD03A2F" w14:textId="77777777" w:rsidR="009B7EB3" w:rsidRDefault="009B7EB3" w:rsidP="009B7EB3">
      <w:pPr>
        <w:pStyle w:val="ListParagraph"/>
        <w:spacing w:after="0" w:line="240" w:lineRule="auto"/>
        <w:ind w:left="360"/>
        <w:rPr>
          <w:rFonts w:ascii="Arial" w:hAnsi="Arial" w:cs="Arial"/>
          <w:b/>
          <w:bCs/>
          <w:i/>
          <w:iCs/>
        </w:rPr>
      </w:pPr>
    </w:p>
    <w:p w14:paraId="6BD03A30" w14:textId="4D54A940" w:rsidR="009B7EB3" w:rsidRPr="001C10AD" w:rsidRDefault="009B7EB3" w:rsidP="009B7EB3">
      <w:pPr>
        <w:pStyle w:val="ListParagraph"/>
        <w:numPr>
          <w:ilvl w:val="0"/>
          <w:numId w:val="15"/>
        </w:numPr>
        <w:tabs>
          <w:tab w:val="clear" w:pos="1080"/>
          <w:tab w:val="num" w:pos="720"/>
        </w:tabs>
        <w:spacing w:after="0" w:line="240" w:lineRule="auto"/>
        <w:ind w:left="720"/>
        <w:rPr>
          <w:rFonts w:ascii="Arial" w:hAnsi="Arial" w:cs="Arial"/>
          <w:b/>
          <w:bCs/>
          <w:i/>
          <w:iCs/>
        </w:rPr>
      </w:pPr>
      <w:r>
        <w:rPr>
          <w:rFonts w:ascii="Arial" w:hAnsi="Arial" w:cs="Arial"/>
          <w:bCs/>
          <w:iCs/>
        </w:rPr>
        <w:t>A</w:t>
      </w:r>
      <w:r w:rsidRPr="00506CA0">
        <w:rPr>
          <w:rFonts w:ascii="Arial" w:hAnsi="Arial" w:cs="Arial"/>
          <w:bCs/>
          <w:iCs/>
        </w:rPr>
        <w:t>ccept a position that has been advertised nationally (this includes the Uni</w:t>
      </w:r>
      <w:r w:rsidR="00A36EE2">
        <w:rPr>
          <w:rFonts w:ascii="Arial" w:hAnsi="Arial" w:cs="Arial"/>
          <w:bCs/>
          <w:iCs/>
        </w:rPr>
        <w:t>versity website and jobs.ac.uk); and</w:t>
      </w:r>
    </w:p>
    <w:p w14:paraId="6BD03A31" w14:textId="77777777" w:rsidR="009B7EB3" w:rsidRPr="00506CA0" w:rsidRDefault="009B7EB3" w:rsidP="009B7EB3">
      <w:pPr>
        <w:pStyle w:val="ListParagraph"/>
        <w:spacing w:after="0" w:line="240" w:lineRule="auto"/>
        <w:ind w:left="0"/>
        <w:rPr>
          <w:rFonts w:ascii="Arial" w:hAnsi="Arial" w:cs="Arial"/>
          <w:b/>
          <w:bCs/>
          <w:i/>
          <w:iCs/>
        </w:rPr>
      </w:pPr>
    </w:p>
    <w:p w14:paraId="6BD03A32" w14:textId="77777777" w:rsidR="009B7EB3" w:rsidRPr="001C10AD" w:rsidRDefault="009B7EB3" w:rsidP="009B7EB3">
      <w:pPr>
        <w:pStyle w:val="ListParagraph"/>
        <w:numPr>
          <w:ilvl w:val="0"/>
          <w:numId w:val="15"/>
        </w:numPr>
        <w:tabs>
          <w:tab w:val="clear" w:pos="1080"/>
          <w:tab w:val="num" w:pos="720"/>
        </w:tabs>
        <w:spacing w:after="0" w:line="240" w:lineRule="auto"/>
        <w:ind w:left="720"/>
        <w:rPr>
          <w:rFonts w:ascii="Arial" w:hAnsi="Arial" w:cs="Arial"/>
          <w:b/>
          <w:bCs/>
          <w:i/>
          <w:iCs/>
        </w:rPr>
      </w:pPr>
      <w:r w:rsidRPr="00506CA0">
        <w:rPr>
          <w:rFonts w:ascii="Arial" w:hAnsi="Arial" w:cs="Arial"/>
          <w:bCs/>
          <w:iCs/>
        </w:rPr>
        <w:t>At the time of appointment (i.e. date of letter of appointment)</w:t>
      </w:r>
      <w:r>
        <w:rPr>
          <w:rFonts w:ascii="Arial" w:hAnsi="Arial" w:cs="Arial"/>
          <w:bCs/>
          <w:iCs/>
        </w:rPr>
        <w:t xml:space="preserve">, </w:t>
      </w:r>
      <w:r w:rsidRPr="00506CA0">
        <w:rPr>
          <w:rFonts w:ascii="Arial" w:hAnsi="Arial" w:cs="Arial"/>
          <w:bCs/>
          <w:iCs/>
        </w:rPr>
        <w:t>live outside a radius of 30 miles from their new place of work and who move within this distance to take up the post.</w:t>
      </w:r>
    </w:p>
    <w:p w14:paraId="6BD03A33" w14:textId="77777777" w:rsidR="009B7EB3" w:rsidRPr="00506CA0" w:rsidRDefault="009B7EB3" w:rsidP="009B7EB3">
      <w:pPr>
        <w:pStyle w:val="ListParagraph"/>
        <w:spacing w:after="0" w:line="240" w:lineRule="auto"/>
        <w:ind w:left="0"/>
        <w:rPr>
          <w:rFonts w:ascii="Arial" w:hAnsi="Arial" w:cs="Arial"/>
          <w:b/>
          <w:bCs/>
          <w:i/>
          <w:iCs/>
        </w:rPr>
      </w:pPr>
    </w:p>
    <w:p w14:paraId="6BD03A34" w14:textId="77777777" w:rsidR="009B7EB3" w:rsidRPr="00506CA0" w:rsidRDefault="009B7EB3" w:rsidP="009B7EB3">
      <w:pPr>
        <w:pStyle w:val="ListParagraph"/>
        <w:spacing w:after="0" w:line="240" w:lineRule="auto"/>
        <w:ind w:left="0"/>
        <w:rPr>
          <w:rFonts w:ascii="Arial" w:hAnsi="Arial" w:cs="Arial"/>
          <w:b/>
          <w:bCs/>
          <w:i/>
          <w:iCs/>
        </w:rPr>
      </w:pPr>
      <w:r w:rsidRPr="00506CA0">
        <w:rPr>
          <w:rFonts w:ascii="Arial" w:hAnsi="Arial" w:cs="Arial"/>
          <w:bCs/>
          <w:iCs/>
        </w:rPr>
        <w:t>This procedure does not apply to part time hourly paid</w:t>
      </w:r>
      <w:r>
        <w:rPr>
          <w:rFonts w:ascii="Arial" w:hAnsi="Arial" w:cs="Arial"/>
          <w:bCs/>
          <w:iCs/>
        </w:rPr>
        <w:t>, casual contracts and fully externally funded posts, with exception of those that have incorporated the cost into their budget.</w:t>
      </w:r>
    </w:p>
    <w:p w14:paraId="6BD03A35" w14:textId="77777777" w:rsidR="009B7EB3" w:rsidRPr="00506CA0" w:rsidRDefault="009B7EB3" w:rsidP="009B7EB3">
      <w:pPr>
        <w:spacing w:after="0" w:line="240" w:lineRule="auto"/>
        <w:rPr>
          <w:rFonts w:ascii="Arial" w:hAnsi="Arial" w:cs="Arial"/>
          <w:color w:val="FF0000"/>
        </w:rPr>
      </w:pPr>
    </w:p>
    <w:p w14:paraId="6BD03A36" w14:textId="77777777" w:rsidR="009B7EB3" w:rsidRPr="000B2784" w:rsidRDefault="009B7EB3" w:rsidP="009B7EB3">
      <w:pPr>
        <w:pStyle w:val="ListParagraph"/>
        <w:numPr>
          <w:ilvl w:val="0"/>
          <w:numId w:val="14"/>
        </w:numPr>
        <w:spacing w:after="0" w:line="240" w:lineRule="auto"/>
        <w:ind w:left="709" w:hanging="709"/>
        <w:rPr>
          <w:rFonts w:ascii="Arial" w:hAnsi="Arial" w:cs="Arial"/>
          <w:b/>
          <w:bCs/>
        </w:rPr>
      </w:pPr>
      <w:r w:rsidRPr="000B2784">
        <w:rPr>
          <w:rFonts w:ascii="Arial" w:hAnsi="Arial" w:cs="Arial"/>
          <w:b/>
          <w:bCs/>
        </w:rPr>
        <w:t>CORE PRINCIPLES</w:t>
      </w:r>
    </w:p>
    <w:p w14:paraId="6BD03A37" w14:textId="77777777" w:rsidR="009B7EB3" w:rsidRPr="00506CA0" w:rsidRDefault="009B7EB3" w:rsidP="009B7EB3">
      <w:pPr>
        <w:spacing w:after="0" w:line="240" w:lineRule="auto"/>
        <w:rPr>
          <w:rFonts w:ascii="Arial" w:hAnsi="Arial" w:cs="Arial"/>
          <w:b/>
          <w:bCs/>
        </w:rPr>
      </w:pPr>
    </w:p>
    <w:p w14:paraId="6BD03A38" w14:textId="13FE59BE" w:rsidR="009B7EB3" w:rsidRPr="00D163DE" w:rsidRDefault="009B7EB3" w:rsidP="00D163DE">
      <w:pPr>
        <w:pStyle w:val="ListParagraph"/>
        <w:numPr>
          <w:ilvl w:val="1"/>
          <w:numId w:val="14"/>
        </w:numPr>
        <w:ind w:right="180"/>
        <w:jc w:val="both"/>
        <w:rPr>
          <w:rFonts w:ascii="Arial" w:hAnsi="Arial" w:cs="Arial"/>
        </w:rPr>
      </w:pPr>
      <w:r w:rsidRPr="00D163DE">
        <w:rPr>
          <w:rFonts w:ascii="Arial" w:hAnsi="Arial" w:cs="Arial"/>
        </w:rPr>
        <w:t xml:space="preserve">For qualifying staff, </w:t>
      </w:r>
      <w:r w:rsidR="00D56492">
        <w:rPr>
          <w:rFonts w:ascii="Arial" w:hAnsi="Arial" w:cs="Arial"/>
        </w:rPr>
        <w:t xml:space="preserve">who meet the three bullet points outlined in section one and </w:t>
      </w:r>
      <w:r w:rsidRPr="00D163DE">
        <w:rPr>
          <w:rFonts w:ascii="Arial" w:hAnsi="Arial" w:cs="Arial"/>
        </w:rPr>
        <w:t xml:space="preserve">who are homeowners selling a property; the University will normally reimburse costs for academic posts normally at Grade 7 or above and Professional and Support posts at Grade 9 or above, </w:t>
      </w:r>
      <w:r w:rsidR="00690F96" w:rsidRPr="00D163DE">
        <w:rPr>
          <w:rFonts w:ascii="Arial" w:hAnsi="Arial" w:cs="Arial"/>
        </w:rPr>
        <w:t xml:space="preserve">normally </w:t>
      </w:r>
      <w:r w:rsidR="00D163DE">
        <w:rPr>
          <w:rFonts w:ascii="Arial" w:hAnsi="Arial" w:cs="Arial"/>
        </w:rPr>
        <w:t>£3,000</w:t>
      </w:r>
      <w:r w:rsidRPr="00D163DE">
        <w:rPr>
          <w:rFonts w:ascii="Arial" w:hAnsi="Arial" w:cs="Arial"/>
        </w:rPr>
        <w:t xml:space="preserve">. In exceptional cases this can be increased </w:t>
      </w:r>
      <w:r w:rsidR="00690F96" w:rsidRPr="00D163DE">
        <w:rPr>
          <w:rFonts w:ascii="Arial" w:hAnsi="Arial" w:cs="Arial"/>
        </w:rPr>
        <w:t xml:space="preserve">up to a maximum of £5,000 </w:t>
      </w:r>
      <w:r w:rsidRPr="00D163DE">
        <w:rPr>
          <w:rFonts w:ascii="Arial" w:hAnsi="Arial" w:cs="Arial"/>
        </w:rPr>
        <w:t>subject to approval by the Associate Director of HR.  Financial assistance will not be granted towards the purchase of a second property in addition to the family home.</w:t>
      </w:r>
    </w:p>
    <w:p w14:paraId="6BD03A39" w14:textId="796AA914" w:rsidR="009B7EB3" w:rsidRPr="00506CA0" w:rsidRDefault="009B7EB3" w:rsidP="009B7EB3">
      <w:pPr>
        <w:ind w:left="709" w:right="180" w:hanging="709"/>
        <w:jc w:val="both"/>
        <w:rPr>
          <w:rFonts w:ascii="Arial" w:hAnsi="Arial" w:cs="Arial"/>
        </w:rPr>
      </w:pPr>
      <w:r w:rsidRPr="00506CA0">
        <w:rPr>
          <w:rFonts w:ascii="Arial" w:hAnsi="Arial" w:cs="Arial"/>
        </w:rPr>
        <w:t>2.2</w:t>
      </w:r>
      <w:r w:rsidRPr="00506CA0">
        <w:rPr>
          <w:rFonts w:ascii="Arial" w:hAnsi="Arial" w:cs="Arial"/>
        </w:rPr>
        <w:tab/>
      </w:r>
      <w:r w:rsidRPr="00506CA0">
        <w:rPr>
          <w:rFonts w:ascii="Arial" w:hAnsi="Arial" w:cs="Arial"/>
        </w:rPr>
        <w:tab/>
        <w:t xml:space="preserve">Qualifying staff, who </w:t>
      </w:r>
      <w:r w:rsidR="00D56492">
        <w:rPr>
          <w:rFonts w:ascii="Arial" w:hAnsi="Arial" w:cs="Arial"/>
        </w:rPr>
        <w:t xml:space="preserve">meet </w:t>
      </w:r>
      <w:r w:rsidR="003602EF">
        <w:rPr>
          <w:rFonts w:ascii="Arial" w:hAnsi="Arial" w:cs="Arial"/>
        </w:rPr>
        <w:t>the three bullet points outlined</w:t>
      </w:r>
      <w:r w:rsidR="00D56492">
        <w:rPr>
          <w:rFonts w:ascii="Arial" w:hAnsi="Arial" w:cs="Arial"/>
        </w:rPr>
        <w:t xml:space="preserve"> in section one and </w:t>
      </w:r>
      <w:r w:rsidRPr="00506CA0">
        <w:rPr>
          <w:rFonts w:ascii="Arial" w:hAnsi="Arial" w:cs="Arial"/>
        </w:rPr>
        <w:t>are homeowners but not selling their property, or are not homeowners, can claim expenses for removal of their personal effects only.  The University will reimburse up to a maximum of £600 if moving within the UK and up to a maximum of £1,200 if moving from overseas</w:t>
      </w:r>
      <w:r w:rsidR="00B80F3E">
        <w:rPr>
          <w:rFonts w:ascii="Arial" w:hAnsi="Arial" w:cs="Arial"/>
        </w:rPr>
        <w:t>,</w:t>
      </w:r>
      <w:r w:rsidR="00D00828">
        <w:rPr>
          <w:rFonts w:ascii="Arial" w:hAnsi="Arial" w:cs="Arial"/>
        </w:rPr>
        <w:t xml:space="preserve"> </w:t>
      </w:r>
      <w:r w:rsidR="00D00828" w:rsidRPr="00D00828">
        <w:rPr>
          <w:rFonts w:ascii="Arial" w:hAnsi="Arial" w:cs="Arial"/>
        </w:rPr>
        <w:t>this may include one adult economy fare from the appointee's place of residence</w:t>
      </w:r>
      <w:r w:rsidRPr="00506CA0">
        <w:rPr>
          <w:rFonts w:ascii="Arial" w:hAnsi="Arial" w:cs="Arial"/>
        </w:rPr>
        <w:t>.</w:t>
      </w:r>
    </w:p>
    <w:p w14:paraId="6BD03A3A" w14:textId="77777777" w:rsidR="009B7EB3" w:rsidRPr="00506CA0" w:rsidRDefault="009B7EB3" w:rsidP="009B7EB3">
      <w:pPr>
        <w:ind w:left="709" w:right="180" w:hanging="709"/>
        <w:jc w:val="both"/>
        <w:rPr>
          <w:rFonts w:ascii="Arial" w:hAnsi="Arial" w:cs="Arial"/>
        </w:rPr>
      </w:pPr>
      <w:r w:rsidRPr="00506CA0">
        <w:rPr>
          <w:rFonts w:ascii="Arial" w:hAnsi="Arial" w:cs="Arial"/>
        </w:rPr>
        <w:t>2.3</w:t>
      </w:r>
      <w:r w:rsidRPr="00506CA0">
        <w:rPr>
          <w:rFonts w:ascii="Arial" w:hAnsi="Arial" w:cs="Arial"/>
        </w:rPr>
        <w:tab/>
        <w:t xml:space="preserve">Claims for reimbursement of removal expenses can only be submitted after the employee has commenced employment with the University. </w:t>
      </w:r>
    </w:p>
    <w:p w14:paraId="6BD03A3B" w14:textId="77777777" w:rsidR="009B7EB3" w:rsidRPr="00506CA0" w:rsidRDefault="009B7EB3" w:rsidP="009B7EB3">
      <w:pPr>
        <w:ind w:left="709" w:right="180" w:hanging="709"/>
        <w:jc w:val="both"/>
        <w:rPr>
          <w:rFonts w:ascii="Arial" w:hAnsi="Arial" w:cs="Arial"/>
        </w:rPr>
      </w:pPr>
      <w:r w:rsidRPr="00506CA0">
        <w:rPr>
          <w:rFonts w:ascii="Arial" w:hAnsi="Arial" w:cs="Arial"/>
        </w:rPr>
        <w:lastRenderedPageBreak/>
        <w:t>2.4</w:t>
      </w:r>
      <w:r w:rsidRPr="00506CA0">
        <w:rPr>
          <w:rFonts w:ascii="Arial" w:hAnsi="Arial" w:cs="Arial"/>
        </w:rPr>
        <w:tab/>
      </w:r>
      <w:r w:rsidRPr="00506CA0">
        <w:rPr>
          <w:rFonts w:ascii="Arial" w:hAnsi="Arial" w:cs="Arial"/>
        </w:rPr>
        <w:tab/>
        <w:t xml:space="preserve">Expenses are normally paid only in respect of an initial appointment and </w:t>
      </w:r>
      <w:r>
        <w:rPr>
          <w:rFonts w:ascii="Arial" w:hAnsi="Arial" w:cs="Arial"/>
        </w:rPr>
        <w:t xml:space="preserve">must </w:t>
      </w:r>
      <w:r w:rsidRPr="00506CA0">
        <w:rPr>
          <w:rFonts w:ascii="Arial" w:hAnsi="Arial" w:cs="Arial"/>
        </w:rPr>
        <w:t>be claimed within 12 months of taking up the appointment</w:t>
      </w:r>
      <w:r>
        <w:rPr>
          <w:rFonts w:ascii="Arial" w:hAnsi="Arial" w:cs="Arial"/>
        </w:rPr>
        <w:t xml:space="preserve">.  </w:t>
      </w:r>
      <w:r w:rsidRPr="00506CA0">
        <w:rPr>
          <w:rFonts w:ascii="Arial" w:hAnsi="Arial" w:cs="Arial"/>
        </w:rPr>
        <w:t xml:space="preserve">Within that period expenses are not normally counted as taxable income of the employee.  </w:t>
      </w:r>
      <w:r>
        <w:rPr>
          <w:rFonts w:ascii="Arial" w:hAnsi="Arial" w:cs="Arial"/>
        </w:rPr>
        <w:t>In exceptional circumstance the Associate Director Human Resources may agree an extension, where agreed,</w:t>
      </w:r>
      <w:r w:rsidRPr="00506CA0">
        <w:rPr>
          <w:rFonts w:ascii="Arial" w:hAnsi="Arial" w:cs="Arial"/>
        </w:rPr>
        <w:t xml:space="preserve"> any financial assistance may then be taxable. </w:t>
      </w:r>
    </w:p>
    <w:p w14:paraId="6BD03A3C" w14:textId="77777777" w:rsidR="009B7EB3" w:rsidRPr="00506CA0" w:rsidRDefault="009B7EB3" w:rsidP="009B7EB3">
      <w:pPr>
        <w:ind w:left="709" w:right="180" w:hanging="709"/>
        <w:jc w:val="both"/>
        <w:rPr>
          <w:rFonts w:ascii="Arial" w:hAnsi="Arial" w:cs="Arial"/>
        </w:rPr>
      </w:pPr>
      <w:r w:rsidRPr="00506CA0">
        <w:rPr>
          <w:rFonts w:ascii="Arial" w:hAnsi="Arial" w:cs="Arial"/>
        </w:rPr>
        <w:t>2.5</w:t>
      </w:r>
      <w:r w:rsidRPr="00506CA0">
        <w:rPr>
          <w:rFonts w:ascii="Arial" w:hAnsi="Arial" w:cs="Arial"/>
        </w:rPr>
        <w:tab/>
        <w:t xml:space="preserve">Expenses will not normally be paid to an employee who moves to the area because his/her spouse/partner has also moved to the area to take up an appointment at Bournemouth University.  In such cases, a claim for expenses will be accepted from one party only.   </w:t>
      </w:r>
    </w:p>
    <w:p w14:paraId="6BD03A3D" w14:textId="77777777" w:rsidR="009B7EB3" w:rsidRPr="00506CA0" w:rsidRDefault="009B7EB3" w:rsidP="009B7EB3">
      <w:pPr>
        <w:ind w:left="360" w:right="180" w:hanging="360"/>
        <w:jc w:val="both"/>
        <w:rPr>
          <w:rFonts w:ascii="Arial" w:hAnsi="Arial" w:cs="Arial"/>
          <w:b/>
        </w:rPr>
      </w:pPr>
      <w:r>
        <w:rPr>
          <w:rFonts w:ascii="Arial" w:hAnsi="Arial" w:cs="Arial"/>
          <w:b/>
        </w:rPr>
        <w:t>3.</w:t>
      </w:r>
      <w:r>
        <w:rPr>
          <w:rFonts w:ascii="Arial" w:hAnsi="Arial" w:cs="Arial"/>
          <w:b/>
        </w:rPr>
        <w:tab/>
      </w:r>
      <w:r>
        <w:rPr>
          <w:rFonts w:ascii="Arial" w:hAnsi="Arial" w:cs="Arial"/>
          <w:b/>
        </w:rPr>
        <w:tab/>
      </w:r>
      <w:r w:rsidRPr="000B2784">
        <w:rPr>
          <w:rFonts w:ascii="Arial" w:hAnsi="Arial" w:cs="Arial"/>
          <w:b/>
        </w:rPr>
        <w:t>PROCEDURE</w:t>
      </w:r>
    </w:p>
    <w:p w14:paraId="6BD03A3E" w14:textId="77777777" w:rsidR="009B7EB3" w:rsidRPr="00506CA0" w:rsidRDefault="009B7EB3" w:rsidP="009B7EB3">
      <w:pPr>
        <w:ind w:left="720" w:right="180" w:hanging="720"/>
        <w:jc w:val="both"/>
        <w:rPr>
          <w:rFonts w:ascii="Glypha LT Std" w:hAnsi="Glypha LT Std" w:cs="Arial"/>
        </w:rPr>
      </w:pPr>
      <w:r w:rsidRPr="00506CA0">
        <w:rPr>
          <w:rFonts w:ascii="Arial" w:hAnsi="Arial" w:cs="Arial"/>
        </w:rPr>
        <w:t>3.1</w:t>
      </w:r>
      <w:r w:rsidRPr="00506CA0">
        <w:rPr>
          <w:rFonts w:ascii="Arial" w:hAnsi="Arial" w:cs="Arial"/>
        </w:rPr>
        <w:tab/>
        <w:t>For Homeowners selling a property the al</w:t>
      </w:r>
      <w:r>
        <w:rPr>
          <w:rFonts w:ascii="Arial" w:hAnsi="Arial" w:cs="Arial"/>
        </w:rPr>
        <w:t xml:space="preserve">lowance granted may be used to </w:t>
      </w:r>
      <w:r w:rsidRPr="00506CA0">
        <w:rPr>
          <w:rFonts w:ascii="Arial" w:hAnsi="Arial" w:cs="Arial"/>
        </w:rPr>
        <w:t xml:space="preserve">offset costs of solicitors' fees, stamp duty, estate agents' fees, property survey fees, removal and/or storage of furniture, or a combination of those expenses.  No contribution towards bridging loans or abortive property transactions will be made.  50% of the allocated allowance may be used to offset temporary accommodation costs incurred by staff </w:t>
      </w:r>
      <w:proofErr w:type="gramStart"/>
      <w:r w:rsidRPr="00506CA0">
        <w:rPr>
          <w:rFonts w:ascii="Arial" w:hAnsi="Arial" w:cs="Arial"/>
        </w:rPr>
        <w:t>who</w:t>
      </w:r>
      <w:proofErr w:type="gramEnd"/>
      <w:r w:rsidRPr="00506CA0">
        <w:rPr>
          <w:rFonts w:ascii="Arial" w:hAnsi="Arial" w:cs="Arial"/>
        </w:rPr>
        <w:t xml:space="preserve"> have to temporarily maintain two homes after taking up an appointment at the University.  The temporary accommodation allowance is payable up to a maximum of £600 per month.</w:t>
      </w:r>
      <w:r w:rsidRPr="00506CA0">
        <w:rPr>
          <w:rFonts w:ascii="Glypha LT Std" w:hAnsi="Glypha LT Std" w:cs="Arial"/>
        </w:rPr>
        <w:t xml:space="preserve"> </w:t>
      </w:r>
    </w:p>
    <w:p w14:paraId="6BD03A3F" w14:textId="77777777" w:rsidR="009B7EB3" w:rsidRPr="00506CA0" w:rsidRDefault="009B7EB3" w:rsidP="009B7EB3">
      <w:pPr>
        <w:ind w:left="720" w:right="180" w:hanging="720"/>
        <w:jc w:val="both"/>
        <w:rPr>
          <w:rFonts w:ascii="Arial" w:hAnsi="Arial" w:cs="Arial"/>
        </w:rPr>
      </w:pPr>
      <w:r w:rsidRPr="00506CA0">
        <w:rPr>
          <w:rFonts w:ascii="Arial" w:hAnsi="Arial" w:cs="Arial"/>
        </w:rPr>
        <w:t>3.2</w:t>
      </w:r>
      <w:r w:rsidRPr="00506CA0">
        <w:rPr>
          <w:rFonts w:ascii="Arial" w:hAnsi="Arial" w:cs="Arial"/>
        </w:rPr>
        <w:tab/>
        <w:t xml:space="preserve">Where </w:t>
      </w:r>
      <w:r>
        <w:rPr>
          <w:rFonts w:ascii="Arial" w:hAnsi="Arial" w:cs="Arial"/>
        </w:rPr>
        <w:t xml:space="preserve">the </w:t>
      </w:r>
      <w:r w:rsidRPr="00506CA0">
        <w:rPr>
          <w:rFonts w:ascii="Arial" w:hAnsi="Arial" w:cs="Arial"/>
        </w:rPr>
        <w:t>contribution</w:t>
      </w:r>
      <w:r>
        <w:rPr>
          <w:rFonts w:ascii="Arial" w:hAnsi="Arial" w:cs="Arial"/>
        </w:rPr>
        <w:t xml:space="preserve"> made</w:t>
      </w:r>
      <w:r w:rsidRPr="00506CA0">
        <w:rPr>
          <w:rFonts w:ascii="Arial" w:hAnsi="Arial" w:cs="Arial"/>
        </w:rPr>
        <w:t xml:space="preserve"> is towards moving personal effects three quotes must be obtained and provided to Human Resources.  The sum reimbursed will be for the least expensive quote.  The removal costs may include costs of insurance of furniture and effects whilst in transit.</w:t>
      </w:r>
    </w:p>
    <w:p w14:paraId="6BD03A40" w14:textId="77777777" w:rsidR="009B7EB3" w:rsidRDefault="009B7EB3" w:rsidP="009B7EB3">
      <w:pPr>
        <w:ind w:left="720" w:right="180" w:hanging="720"/>
        <w:jc w:val="both"/>
        <w:rPr>
          <w:rFonts w:ascii="Arial" w:hAnsi="Arial" w:cs="Arial"/>
        </w:rPr>
      </w:pPr>
      <w:r>
        <w:rPr>
          <w:rFonts w:ascii="Arial" w:hAnsi="Arial" w:cs="Arial"/>
        </w:rPr>
        <w:t>3.4</w:t>
      </w:r>
      <w:r w:rsidRPr="00506CA0">
        <w:rPr>
          <w:rFonts w:ascii="Arial" w:hAnsi="Arial" w:cs="Arial"/>
        </w:rPr>
        <w:tab/>
        <w:t xml:space="preserve">Claims for expenses and quotes for the removal of personal </w:t>
      </w:r>
      <w:proofErr w:type="gramStart"/>
      <w:r w:rsidRPr="00506CA0">
        <w:rPr>
          <w:rFonts w:ascii="Arial" w:hAnsi="Arial" w:cs="Arial"/>
        </w:rPr>
        <w:t>effects,</w:t>
      </w:r>
      <w:proofErr w:type="gramEnd"/>
      <w:r w:rsidRPr="00506CA0">
        <w:rPr>
          <w:rFonts w:ascii="Arial" w:hAnsi="Arial" w:cs="Arial"/>
        </w:rPr>
        <w:t xml:space="preserve"> should be submitted to Human Resources together with relevant original invoices, statements of account and/or receipts issued by solicitors, estate agents, building societies, banks and/or removal companies.   </w:t>
      </w:r>
    </w:p>
    <w:p w14:paraId="6BD03A41" w14:textId="77777777" w:rsidR="009B7EB3" w:rsidRPr="00506CA0" w:rsidRDefault="009B7EB3" w:rsidP="009B7EB3">
      <w:pPr>
        <w:ind w:left="720" w:right="180" w:hanging="720"/>
        <w:jc w:val="both"/>
        <w:rPr>
          <w:rFonts w:ascii="Arial" w:hAnsi="Arial" w:cs="Arial"/>
        </w:rPr>
      </w:pPr>
      <w:r>
        <w:rPr>
          <w:rFonts w:ascii="Arial" w:hAnsi="Arial" w:cs="Arial"/>
        </w:rPr>
        <w:t>3.5</w:t>
      </w:r>
      <w:r>
        <w:rPr>
          <w:rFonts w:ascii="Arial" w:hAnsi="Arial" w:cs="Arial"/>
        </w:rPr>
        <w:tab/>
        <w:t xml:space="preserve">A </w:t>
      </w:r>
      <w:r w:rsidRPr="00070085">
        <w:rPr>
          <w:rFonts w:ascii="Arial" w:hAnsi="Arial" w:cs="Arial"/>
          <w:b/>
          <w:u w:val="single"/>
        </w:rPr>
        <w:t>Personal Declaration form</w:t>
      </w:r>
      <w:r>
        <w:rPr>
          <w:rFonts w:ascii="Arial" w:hAnsi="Arial" w:cs="Arial"/>
        </w:rPr>
        <w:t xml:space="preserve"> </w:t>
      </w:r>
      <w:r w:rsidRPr="00506CA0">
        <w:rPr>
          <w:rFonts w:ascii="Arial" w:hAnsi="Arial" w:cs="Arial"/>
        </w:rPr>
        <w:t>relating to agreement of any monies received being in accordance with the provisions of the policy</w:t>
      </w:r>
      <w:r>
        <w:rPr>
          <w:rFonts w:ascii="Arial" w:hAnsi="Arial" w:cs="Arial"/>
        </w:rPr>
        <w:t>, must be submitted to Human Resources</w:t>
      </w:r>
      <w:r w:rsidRPr="00506CA0">
        <w:rPr>
          <w:rFonts w:ascii="Arial" w:hAnsi="Arial" w:cs="Arial"/>
        </w:rPr>
        <w:t>.</w:t>
      </w:r>
      <w:r>
        <w:rPr>
          <w:rFonts w:ascii="Arial" w:hAnsi="Arial" w:cs="Arial"/>
        </w:rPr>
        <w:t xml:space="preserve"> No payments will be made prior to receipt of a signed Personal Declaration.</w:t>
      </w:r>
    </w:p>
    <w:p w14:paraId="6BD03A42" w14:textId="77777777" w:rsidR="009B7EB3" w:rsidRPr="00506CA0" w:rsidRDefault="009B7EB3" w:rsidP="009B7EB3">
      <w:pPr>
        <w:ind w:left="720" w:right="180" w:hanging="720"/>
        <w:jc w:val="both"/>
        <w:rPr>
          <w:rFonts w:ascii="Arial" w:hAnsi="Arial" w:cs="Arial"/>
        </w:rPr>
      </w:pPr>
      <w:r>
        <w:rPr>
          <w:rFonts w:ascii="Arial" w:hAnsi="Arial" w:cs="Arial"/>
        </w:rPr>
        <w:t>3.5</w:t>
      </w:r>
      <w:r w:rsidRPr="00506CA0">
        <w:rPr>
          <w:rFonts w:ascii="Arial" w:hAnsi="Arial" w:cs="Arial"/>
        </w:rPr>
        <w:tab/>
        <w:t xml:space="preserve">Payments under the Policy will be made via BACs payment by Finance.  </w:t>
      </w:r>
    </w:p>
    <w:p w14:paraId="6BD03A43" w14:textId="77777777" w:rsidR="009B7EB3" w:rsidRPr="00506CA0" w:rsidRDefault="009B7EB3" w:rsidP="009B7EB3">
      <w:pPr>
        <w:pStyle w:val="ListParagraph"/>
        <w:ind w:left="0" w:right="180"/>
        <w:jc w:val="both"/>
        <w:rPr>
          <w:rFonts w:ascii="Arial" w:hAnsi="Arial" w:cs="Arial"/>
          <w:b/>
        </w:rPr>
      </w:pPr>
      <w:r w:rsidRPr="00506CA0">
        <w:rPr>
          <w:rFonts w:ascii="Arial" w:hAnsi="Arial" w:cs="Arial"/>
          <w:b/>
        </w:rPr>
        <w:t>4</w:t>
      </w:r>
      <w:r w:rsidRPr="00506CA0">
        <w:rPr>
          <w:rFonts w:ascii="Arial" w:hAnsi="Arial" w:cs="Arial"/>
          <w:b/>
        </w:rPr>
        <w:tab/>
      </w:r>
      <w:r w:rsidRPr="000B2784">
        <w:rPr>
          <w:rFonts w:ascii="Arial" w:hAnsi="Arial" w:cs="Arial"/>
          <w:b/>
        </w:rPr>
        <w:t>REIMBURSEMENT TO THE UNIVERSITY</w:t>
      </w:r>
    </w:p>
    <w:p w14:paraId="6BD03A44" w14:textId="77777777" w:rsidR="009B7EB3" w:rsidRPr="00506CA0" w:rsidRDefault="009B7EB3" w:rsidP="009B7EB3">
      <w:pPr>
        <w:pStyle w:val="ListParagraph"/>
        <w:ind w:left="0" w:right="180"/>
        <w:jc w:val="both"/>
        <w:rPr>
          <w:rFonts w:ascii="Arial" w:hAnsi="Arial" w:cs="Arial"/>
          <w:b/>
        </w:rPr>
      </w:pPr>
    </w:p>
    <w:p w14:paraId="6BD03A45" w14:textId="77777777" w:rsidR="009B7EB3" w:rsidRPr="00506CA0" w:rsidRDefault="009B7EB3" w:rsidP="009B7EB3">
      <w:pPr>
        <w:pStyle w:val="ListParagraph"/>
        <w:ind w:right="180" w:hanging="720"/>
        <w:jc w:val="both"/>
        <w:rPr>
          <w:rFonts w:ascii="Arial" w:hAnsi="Arial" w:cs="Arial"/>
        </w:rPr>
      </w:pPr>
      <w:r w:rsidRPr="00506CA0">
        <w:rPr>
          <w:rFonts w:ascii="Arial" w:hAnsi="Arial" w:cs="Arial"/>
        </w:rPr>
        <w:t>4.1</w:t>
      </w:r>
      <w:r w:rsidRPr="00506CA0">
        <w:rPr>
          <w:rFonts w:ascii="Arial" w:hAnsi="Arial" w:cs="Arial"/>
        </w:rPr>
        <w:tab/>
        <w:t>The University is entitled to recover remova</w:t>
      </w:r>
      <w:r>
        <w:rPr>
          <w:rFonts w:ascii="Arial" w:hAnsi="Arial" w:cs="Arial"/>
        </w:rPr>
        <w:t>l expenses from all staff who, o</w:t>
      </w:r>
      <w:r w:rsidRPr="00506CA0">
        <w:rPr>
          <w:rFonts w:ascii="Arial" w:hAnsi="Arial" w:cs="Arial"/>
        </w:rPr>
        <w:t>f their own volition, terminate their employment with the University within the first two years of their contract.</w:t>
      </w:r>
    </w:p>
    <w:p w14:paraId="6BD03A46" w14:textId="77777777" w:rsidR="009B7EB3" w:rsidRPr="00506CA0" w:rsidRDefault="009B7EB3" w:rsidP="009B7EB3">
      <w:pPr>
        <w:ind w:right="180"/>
        <w:jc w:val="both"/>
        <w:rPr>
          <w:rFonts w:ascii="Arial" w:hAnsi="Arial" w:cs="Arial"/>
        </w:rPr>
      </w:pPr>
      <w:r w:rsidRPr="00506CA0">
        <w:rPr>
          <w:rFonts w:ascii="Arial" w:hAnsi="Arial" w:cs="Arial"/>
        </w:rPr>
        <w:t>4.2</w:t>
      </w:r>
      <w:r w:rsidRPr="00506CA0">
        <w:rPr>
          <w:rFonts w:ascii="Arial" w:hAnsi="Arial" w:cs="Arial"/>
        </w:rPr>
        <w:tab/>
        <w:t>Removal reimbursements are calculated as follows:</w:t>
      </w:r>
    </w:p>
    <w:p w14:paraId="6BD03A47" w14:textId="77777777" w:rsidR="009B7EB3" w:rsidRPr="00506CA0" w:rsidRDefault="009B7EB3" w:rsidP="009B7EB3">
      <w:pPr>
        <w:pStyle w:val="ListParagraph"/>
        <w:numPr>
          <w:ilvl w:val="0"/>
          <w:numId w:val="16"/>
        </w:numPr>
        <w:ind w:right="180"/>
        <w:jc w:val="both"/>
        <w:rPr>
          <w:rFonts w:ascii="Arial" w:hAnsi="Arial" w:cs="Arial"/>
        </w:rPr>
      </w:pPr>
      <w:r w:rsidRPr="00506CA0">
        <w:rPr>
          <w:rFonts w:ascii="Arial" w:hAnsi="Arial" w:cs="Arial"/>
        </w:rPr>
        <w:t>Employees who leave within 12 month</w:t>
      </w:r>
      <w:r>
        <w:rPr>
          <w:rFonts w:ascii="Arial" w:hAnsi="Arial" w:cs="Arial"/>
        </w:rPr>
        <w:t>s of their start date must repay the full amount</w:t>
      </w:r>
    </w:p>
    <w:p w14:paraId="6BD03A48" w14:textId="77777777" w:rsidR="009B7EB3" w:rsidRPr="00506CA0" w:rsidRDefault="009B7EB3" w:rsidP="009B7EB3">
      <w:pPr>
        <w:pStyle w:val="ListParagraph"/>
        <w:numPr>
          <w:ilvl w:val="0"/>
          <w:numId w:val="16"/>
        </w:numPr>
        <w:ind w:right="180"/>
        <w:jc w:val="both"/>
        <w:rPr>
          <w:rFonts w:ascii="Arial" w:hAnsi="Arial" w:cs="Arial"/>
        </w:rPr>
      </w:pPr>
      <w:r>
        <w:rPr>
          <w:rFonts w:ascii="Arial" w:hAnsi="Arial" w:cs="Arial"/>
        </w:rPr>
        <w:lastRenderedPageBreak/>
        <w:t>For employees who leave within 12-24 months, the amount to be repaid will decrease by 1/24</w:t>
      </w:r>
      <w:r w:rsidRPr="001C10AD">
        <w:rPr>
          <w:rFonts w:ascii="Arial" w:hAnsi="Arial" w:cs="Arial"/>
          <w:vertAlign w:val="superscript"/>
        </w:rPr>
        <w:t>th</w:t>
      </w:r>
      <w:r>
        <w:rPr>
          <w:rFonts w:ascii="Arial" w:hAnsi="Arial" w:cs="Arial"/>
        </w:rPr>
        <w:t xml:space="preserve"> of the amount paid for every month of service with the University. </w:t>
      </w:r>
    </w:p>
    <w:p w14:paraId="6BD03A49" w14:textId="5F862524" w:rsidR="00867F6A" w:rsidRDefault="009B7EB3" w:rsidP="00A2497C">
      <w:pPr>
        <w:ind w:left="720" w:right="180" w:hanging="720"/>
        <w:jc w:val="both"/>
        <w:rPr>
          <w:rFonts w:ascii="Arial" w:hAnsi="Arial" w:cs="Arial"/>
        </w:rPr>
      </w:pPr>
      <w:r w:rsidRPr="00506CA0">
        <w:rPr>
          <w:rFonts w:ascii="Arial" w:hAnsi="Arial" w:cs="Arial"/>
        </w:rPr>
        <w:t>4.3</w:t>
      </w:r>
      <w:r w:rsidRPr="00506CA0">
        <w:rPr>
          <w:rFonts w:ascii="Arial" w:hAnsi="Arial" w:cs="Arial"/>
        </w:rPr>
        <w:tab/>
        <w:t>Should an employee's contract be terminated due to death, redundancy or the end of a fixed term contract no monies will be due from the employee to the University by way of reimbursement for removal and associated expenses.</w:t>
      </w:r>
    </w:p>
    <w:p w14:paraId="384BB936" w14:textId="77777777" w:rsidR="00867F6A" w:rsidRDefault="00867F6A">
      <w:pPr>
        <w:rPr>
          <w:rFonts w:ascii="Arial" w:hAnsi="Arial" w:cs="Arial"/>
        </w:rPr>
      </w:pPr>
      <w:r>
        <w:rPr>
          <w:rFonts w:ascii="Arial" w:hAnsi="Arial" w:cs="Arial"/>
        </w:rPr>
        <w:br w:type="page"/>
      </w:r>
      <w:bookmarkStart w:id="0" w:name="_GoBack"/>
      <w:bookmarkEnd w:id="0"/>
    </w:p>
    <w:p w14:paraId="64EFD333" w14:textId="2C22D24A" w:rsidR="00EB1914" w:rsidRPr="002106A1" w:rsidRDefault="00867F6A" w:rsidP="00A2497C">
      <w:pPr>
        <w:ind w:left="720" w:right="180" w:hanging="720"/>
        <w:jc w:val="both"/>
        <w:rPr>
          <w:rFonts w:ascii="Arial" w:hAnsi="Arial" w:cs="Arial"/>
        </w:rPr>
      </w:pPr>
      <w:r>
        <w:object w:dxaOrig="11110" w:dyaOrig="16043" w14:anchorId="10153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05pt;height:651.35pt" o:ole="">
            <v:imagedata r:id="rId11" o:title=""/>
          </v:shape>
          <o:OLEObject Type="Embed" ProgID="Visio.Drawing.11" ShapeID="_x0000_i1025" DrawAspect="Content" ObjectID="_1644987708" r:id="rId12"/>
        </w:object>
      </w:r>
    </w:p>
    <w:sectPr w:rsidR="00EB1914"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1EB"/>
    <w:multiLevelType w:val="hybridMultilevel"/>
    <w:tmpl w:val="85F47DF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417031D"/>
    <w:multiLevelType w:val="hybridMultilevel"/>
    <w:tmpl w:val="18003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AF2DB7"/>
    <w:multiLevelType w:val="hybridMultilevel"/>
    <w:tmpl w:val="1D967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B7166E"/>
    <w:multiLevelType w:val="hybridMultilevel"/>
    <w:tmpl w:val="77FA54B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nsid w:val="206B6BEE"/>
    <w:multiLevelType w:val="multilevel"/>
    <w:tmpl w:val="BDFAB8FE"/>
    <w:lvl w:ilvl="0">
      <w:start w:val="1"/>
      <w:numFmt w:val="decimal"/>
      <w:lvlText w:val="%1."/>
      <w:lvlJc w:val="left"/>
      <w:pPr>
        <w:ind w:left="786" w:hanging="360"/>
      </w:pPr>
      <w:rPr>
        <w:rFonts w:ascii="Arial" w:hAnsi="Arial" w:cs="Arial" w:hint="default"/>
        <w:i w:val="0"/>
        <w:sz w:val="24"/>
        <w:szCs w:val="24"/>
      </w:rPr>
    </w:lvl>
    <w:lvl w:ilvl="1">
      <w:start w:val="1"/>
      <w:numFmt w:val="decimal"/>
      <w:lvlText w:val="%1.%2."/>
      <w:lvlJc w:val="left"/>
      <w:pPr>
        <w:ind w:left="1218" w:hanging="432"/>
      </w:pPr>
      <w:rPr>
        <w:b/>
        <w:i w:val="0"/>
        <w:color w:val="auto"/>
      </w:rPr>
    </w:lvl>
    <w:lvl w:ilvl="2">
      <w:start w:val="1"/>
      <w:numFmt w:val="bullet"/>
      <w:lvlText w:val=""/>
      <w:lvlJc w:val="left"/>
      <w:pPr>
        <w:ind w:left="1650" w:hanging="504"/>
      </w:pPr>
      <w:rPr>
        <w:rFonts w:ascii="Symbol" w:hAnsi="Symbol" w:hint="default"/>
      </w:rPr>
    </w:lvl>
    <w:lvl w:ilvl="3">
      <w:start w:val="1"/>
      <w:numFmt w:val="bullet"/>
      <w:lvlText w:val=""/>
      <w:lvlJc w:val="left"/>
      <w:pPr>
        <w:ind w:left="2154" w:hanging="648"/>
      </w:pPr>
      <w:rPr>
        <w:rFonts w:ascii="Symbol" w:hAnsi="Symbol" w:hint="default"/>
        <w:color w:val="auto"/>
      </w:r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5">
    <w:nsid w:val="25C11052"/>
    <w:multiLevelType w:val="hybridMultilevel"/>
    <w:tmpl w:val="AA2CD1D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2B3F51E8"/>
    <w:multiLevelType w:val="multilevel"/>
    <w:tmpl w:val="E328083C"/>
    <w:lvl w:ilvl="0">
      <w:start w:val="1"/>
      <w:numFmt w:val="decimal"/>
      <w:lvlText w:val="%1."/>
      <w:lvlJc w:val="left"/>
      <w:pPr>
        <w:tabs>
          <w:tab w:val="num" w:pos="0"/>
        </w:tabs>
        <w:ind w:left="360" w:hanging="360"/>
      </w:pPr>
      <w:rPr>
        <w:rFonts w:hint="default"/>
        <w:i w:val="0"/>
        <w:iCs w:val="0"/>
      </w:rPr>
    </w:lvl>
    <w:lvl w:ilvl="1">
      <w:start w:val="1"/>
      <w:numFmt w:val="decimal"/>
      <w:isLgl/>
      <w:lvlText w:val="%1.%2"/>
      <w:lvlJc w:val="left"/>
      <w:pPr>
        <w:tabs>
          <w:tab w:val="num" w:pos="0"/>
        </w:tabs>
        <w:ind w:left="720" w:hanging="720"/>
      </w:pPr>
      <w:rPr>
        <w:rFonts w:hint="default"/>
        <w:b w:val="0"/>
        <w:bCs w:val="0"/>
        <w:i w:val="0"/>
        <w:iCs w:val="0"/>
      </w:rPr>
    </w:lvl>
    <w:lvl w:ilvl="2">
      <w:start w:val="1"/>
      <w:numFmt w:val="decimal"/>
      <w:isLgl/>
      <w:lvlText w:val="%1.%2.%3"/>
      <w:lvlJc w:val="left"/>
      <w:pPr>
        <w:tabs>
          <w:tab w:val="num" w:pos="0"/>
        </w:tabs>
        <w:ind w:left="720" w:hanging="720"/>
      </w:pPr>
      <w:rPr>
        <w:rFonts w:hint="default"/>
      </w:rPr>
    </w:lvl>
    <w:lvl w:ilvl="3">
      <w:start w:val="1"/>
      <w:numFmt w:val="decimal"/>
      <w:isLgl/>
      <w:lvlText w:val="%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800" w:hanging="1800"/>
      </w:pPr>
      <w:rPr>
        <w:rFonts w:hint="default"/>
      </w:rPr>
    </w:lvl>
  </w:abstractNum>
  <w:abstractNum w:abstractNumId="7">
    <w:nsid w:val="37672D72"/>
    <w:multiLevelType w:val="hybridMultilevel"/>
    <w:tmpl w:val="5636BCD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15A4A1A"/>
    <w:multiLevelType w:val="hybridMultilevel"/>
    <w:tmpl w:val="FAF0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662620"/>
    <w:multiLevelType w:val="hybridMultilevel"/>
    <w:tmpl w:val="82962046"/>
    <w:lvl w:ilvl="0" w:tplc="08090001">
      <w:start w:val="1"/>
      <w:numFmt w:val="bullet"/>
      <w:lvlText w:val=""/>
      <w:lvlJc w:val="left"/>
      <w:pPr>
        <w:tabs>
          <w:tab w:val="num" w:pos="1512"/>
        </w:tabs>
        <w:ind w:left="1512" w:hanging="360"/>
      </w:pPr>
      <w:rPr>
        <w:rFonts w:ascii="Symbol" w:hAnsi="Symbol"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10">
    <w:nsid w:val="4C65127D"/>
    <w:multiLevelType w:val="hybridMultilevel"/>
    <w:tmpl w:val="DF54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CCD2A07"/>
    <w:multiLevelType w:val="hybridMultilevel"/>
    <w:tmpl w:val="14B83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C212A6"/>
    <w:multiLevelType w:val="hybridMultilevel"/>
    <w:tmpl w:val="1B8E8E4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nsid w:val="5B0C3429"/>
    <w:multiLevelType w:val="multilevel"/>
    <w:tmpl w:val="7B46A95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b/>
        <w:i/>
        <w:color w:val="auto"/>
      </w:rPr>
    </w:lvl>
    <w:lvl w:ilvl="2">
      <w:start w:val="1"/>
      <w:numFmt w:val="bullet"/>
      <w:lvlText w:val=""/>
      <w:lvlJc w:val="left"/>
      <w:pPr>
        <w:ind w:left="2304" w:hanging="504"/>
      </w:pPr>
      <w:rPr>
        <w:rFonts w:ascii="Symbol" w:hAnsi="Symbol" w:hint="default"/>
      </w:rPr>
    </w:lvl>
    <w:lvl w:ilvl="3">
      <w:start w:val="1"/>
      <w:numFmt w:val="bullet"/>
      <w:lvlText w:val=""/>
      <w:lvlJc w:val="left"/>
      <w:pPr>
        <w:ind w:left="2808" w:hanging="648"/>
      </w:pPr>
      <w:rPr>
        <w:rFonts w:ascii="Symbol" w:hAnsi="Symbol" w:hint="default"/>
      </w:r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4">
    <w:nsid w:val="5DD21394"/>
    <w:multiLevelType w:val="hybridMultilevel"/>
    <w:tmpl w:val="A6A821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659F4658"/>
    <w:multiLevelType w:val="hybridMultilevel"/>
    <w:tmpl w:val="9FE236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7EBE0DC6"/>
    <w:multiLevelType w:val="hybridMultilevel"/>
    <w:tmpl w:val="30F0C0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9"/>
  </w:num>
  <w:num w:numId="3">
    <w:abstractNumId w:val="4"/>
  </w:num>
  <w:num w:numId="4">
    <w:abstractNumId w:val="12"/>
  </w:num>
  <w:num w:numId="5">
    <w:abstractNumId w:val="13"/>
  </w:num>
  <w:num w:numId="6">
    <w:abstractNumId w:val="10"/>
  </w:num>
  <w:num w:numId="7">
    <w:abstractNumId w:val="2"/>
  </w:num>
  <w:num w:numId="8">
    <w:abstractNumId w:val="11"/>
  </w:num>
  <w:num w:numId="9">
    <w:abstractNumId w:val="5"/>
  </w:num>
  <w:num w:numId="10">
    <w:abstractNumId w:val="1"/>
  </w:num>
  <w:num w:numId="11">
    <w:abstractNumId w:val="0"/>
  </w:num>
  <w:num w:numId="12">
    <w:abstractNumId w:val="14"/>
  </w:num>
  <w:num w:numId="13">
    <w:abstractNumId w:val="16"/>
  </w:num>
  <w:num w:numId="14">
    <w:abstractNumId w:val="6"/>
  </w:num>
  <w:num w:numId="15">
    <w:abstractNumId w:val="15"/>
  </w:num>
  <w:num w:numId="16">
    <w:abstractNumId w:val="8"/>
  </w:num>
  <w:num w:numId="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52"/>
    <w:rsid w:val="000B2784"/>
    <w:rsid w:val="000F19CE"/>
    <w:rsid w:val="002106A1"/>
    <w:rsid w:val="002E309E"/>
    <w:rsid w:val="003602EF"/>
    <w:rsid w:val="00690F96"/>
    <w:rsid w:val="008605B3"/>
    <w:rsid w:val="00867F6A"/>
    <w:rsid w:val="009931BE"/>
    <w:rsid w:val="009B7EB3"/>
    <w:rsid w:val="00A2497C"/>
    <w:rsid w:val="00A36EE2"/>
    <w:rsid w:val="00AA0816"/>
    <w:rsid w:val="00AC20F7"/>
    <w:rsid w:val="00B453C4"/>
    <w:rsid w:val="00B50797"/>
    <w:rsid w:val="00B80F3E"/>
    <w:rsid w:val="00D00828"/>
    <w:rsid w:val="00D163DE"/>
    <w:rsid w:val="00D56492"/>
    <w:rsid w:val="00E225E0"/>
    <w:rsid w:val="00E46097"/>
    <w:rsid w:val="00EB1914"/>
    <w:rsid w:val="00ED6C52"/>
    <w:rsid w:val="00F3296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52"/>
    <w:rPr>
      <w:rFonts w:eastAsiaTheme="minorEastAsia"/>
      <w:lang w:eastAsia="en-GB"/>
    </w:rPr>
  </w:style>
  <w:style w:type="paragraph" w:styleId="Heading1">
    <w:name w:val="heading 1"/>
    <w:basedOn w:val="Normal"/>
    <w:next w:val="Normal"/>
    <w:link w:val="Heading1Char"/>
    <w:uiPriority w:val="9"/>
    <w:qFormat/>
    <w:rsid w:val="00B453C4"/>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1BE"/>
    <w:pPr>
      <w:ind w:left="720"/>
      <w:contextualSpacing/>
    </w:pPr>
  </w:style>
  <w:style w:type="character" w:customStyle="1" w:styleId="ListParagraphChar">
    <w:name w:val="List Paragraph Char"/>
    <w:basedOn w:val="DefaultParagraphFont"/>
    <w:link w:val="ListParagraph"/>
    <w:uiPriority w:val="99"/>
    <w:locked/>
    <w:rsid w:val="009931BE"/>
    <w:rPr>
      <w:rFonts w:eastAsiaTheme="minorEastAsia"/>
      <w:lang w:eastAsia="en-GB"/>
    </w:rPr>
  </w:style>
  <w:style w:type="character" w:customStyle="1" w:styleId="Heading1Char">
    <w:name w:val="Heading 1 Char"/>
    <w:basedOn w:val="DefaultParagraphFont"/>
    <w:link w:val="Heading1"/>
    <w:uiPriority w:val="9"/>
    <w:rsid w:val="00B453C4"/>
    <w:rPr>
      <w:rFonts w:ascii="Cambria" w:eastAsia="Times New Roman" w:hAnsi="Cambria" w:cs="Times New Roman"/>
      <w:b/>
      <w:bCs/>
      <w:kern w:val="32"/>
      <w:sz w:val="32"/>
      <w:szCs w:val="32"/>
      <w:lang w:val="x-none"/>
    </w:rPr>
  </w:style>
  <w:style w:type="paragraph" w:styleId="Header">
    <w:name w:val="header"/>
    <w:basedOn w:val="Normal"/>
    <w:link w:val="HeaderChar"/>
    <w:uiPriority w:val="99"/>
    <w:unhideWhenUsed/>
    <w:rsid w:val="00B4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3C4"/>
    <w:rPr>
      <w:rFonts w:eastAsiaTheme="minorEastAsia"/>
      <w:lang w:eastAsia="en-GB"/>
    </w:rPr>
  </w:style>
  <w:style w:type="paragraph" w:styleId="Footer">
    <w:name w:val="footer"/>
    <w:basedOn w:val="Normal"/>
    <w:link w:val="FooterChar"/>
    <w:uiPriority w:val="99"/>
    <w:unhideWhenUsed/>
    <w:rsid w:val="00B4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3C4"/>
    <w:rPr>
      <w:rFonts w:eastAsiaTheme="minorEastAsia"/>
      <w:lang w:eastAsia="en-GB"/>
    </w:rPr>
  </w:style>
  <w:style w:type="character" w:styleId="CommentReference">
    <w:name w:val="annotation reference"/>
    <w:basedOn w:val="DefaultParagraphFont"/>
    <w:uiPriority w:val="99"/>
    <w:semiHidden/>
    <w:unhideWhenUsed/>
    <w:rsid w:val="00B453C4"/>
    <w:rPr>
      <w:sz w:val="16"/>
      <w:szCs w:val="16"/>
    </w:rPr>
  </w:style>
  <w:style w:type="paragraph" w:styleId="CommentText">
    <w:name w:val="annotation text"/>
    <w:basedOn w:val="Normal"/>
    <w:link w:val="CommentTextChar"/>
    <w:uiPriority w:val="99"/>
    <w:semiHidden/>
    <w:unhideWhenUsed/>
    <w:rsid w:val="00B453C4"/>
    <w:pPr>
      <w:spacing w:line="240" w:lineRule="auto"/>
    </w:pPr>
    <w:rPr>
      <w:sz w:val="20"/>
      <w:szCs w:val="20"/>
    </w:rPr>
  </w:style>
  <w:style w:type="character" w:customStyle="1" w:styleId="CommentTextChar">
    <w:name w:val="Comment Text Char"/>
    <w:basedOn w:val="DefaultParagraphFont"/>
    <w:link w:val="CommentText"/>
    <w:uiPriority w:val="99"/>
    <w:semiHidden/>
    <w:rsid w:val="00B453C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453C4"/>
    <w:rPr>
      <w:b/>
      <w:bCs/>
    </w:rPr>
  </w:style>
  <w:style w:type="character" w:customStyle="1" w:styleId="CommentSubjectChar">
    <w:name w:val="Comment Subject Char"/>
    <w:basedOn w:val="CommentTextChar"/>
    <w:link w:val="CommentSubject"/>
    <w:uiPriority w:val="99"/>
    <w:semiHidden/>
    <w:rsid w:val="00B453C4"/>
    <w:rPr>
      <w:rFonts w:eastAsiaTheme="minorEastAsia"/>
      <w:b/>
      <w:bCs/>
      <w:sz w:val="20"/>
      <w:szCs w:val="20"/>
      <w:lang w:eastAsia="en-GB"/>
    </w:rPr>
  </w:style>
  <w:style w:type="paragraph" w:styleId="BalloonText">
    <w:name w:val="Balloon Text"/>
    <w:basedOn w:val="Normal"/>
    <w:link w:val="BalloonTextChar"/>
    <w:uiPriority w:val="99"/>
    <w:semiHidden/>
    <w:unhideWhenUsed/>
    <w:rsid w:val="00B4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C4"/>
    <w:rPr>
      <w:rFonts w:ascii="Tahoma" w:eastAsiaTheme="minorEastAsia" w:hAnsi="Tahoma" w:cs="Tahoma"/>
      <w:sz w:val="16"/>
      <w:szCs w:val="16"/>
      <w:lang w:eastAsia="en-GB"/>
    </w:rPr>
  </w:style>
  <w:style w:type="paragraph" w:styleId="BodyText2">
    <w:name w:val="Body Text 2"/>
    <w:basedOn w:val="Normal"/>
    <w:link w:val="BodyText2Char"/>
    <w:uiPriority w:val="99"/>
    <w:rsid w:val="00B453C4"/>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B453C4"/>
    <w:rPr>
      <w:rFonts w:ascii="Arial" w:eastAsia="Calibri" w:hAnsi="Arial" w:cs="Arial"/>
      <w:sz w:val="20"/>
      <w:szCs w:val="20"/>
      <w:lang w:eastAsia="en-GB"/>
    </w:rPr>
  </w:style>
  <w:style w:type="character" w:styleId="Hyperlink">
    <w:name w:val="Hyperlink"/>
    <w:basedOn w:val="DefaultParagraphFont"/>
    <w:uiPriority w:val="99"/>
    <w:rsid w:val="00B453C4"/>
    <w:rPr>
      <w:color w:val="0000FF"/>
      <w:u w:val="single"/>
    </w:rPr>
  </w:style>
  <w:style w:type="table" w:styleId="TableGrid">
    <w:name w:val="Table Grid"/>
    <w:basedOn w:val="TableNormal"/>
    <w:uiPriority w:val="59"/>
    <w:rsid w:val="00B453C4"/>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B453C4"/>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B453C4"/>
    <w:rPr>
      <w:rFonts w:ascii="Calibri" w:eastAsia="Calibri" w:hAnsi="Calibri" w:cs="Times New Roman"/>
      <w:sz w:val="20"/>
      <w:szCs w:val="20"/>
      <w:lang w:val="x-none"/>
    </w:rPr>
  </w:style>
  <w:style w:type="paragraph" w:styleId="PlainText">
    <w:name w:val="Plain Text"/>
    <w:basedOn w:val="Normal"/>
    <w:link w:val="PlainTextChar"/>
    <w:uiPriority w:val="99"/>
    <w:rsid w:val="00B453C4"/>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B453C4"/>
    <w:rPr>
      <w:rFonts w:ascii="Courier New" w:eastAsia="Calibri" w:hAnsi="Courier New" w:cs="Times New Roman"/>
      <w:sz w:val="20"/>
      <w:szCs w:val="20"/>
      <w:lang w:val="x-none"/>
    </w:rPr>
  </w:style>
  <w:style w:type="paragraph" w:styleId="FootnoteText">
    <w:name w:val="footnote text"/>
    <w:basedOn w:val="Normal"/>
    <w:link w:val="FootnoteTextChar"/>
    <w:uiPriority w:val="99"/>
    <w:semiHidden/>
    <w:rsid w:val="00B453C4"/>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B453C4"/>
    <w:rPr>
      <w:rFonts w:ascii="Calibri" w:eastAsia="Calibri" w:hAnsi="Calibri" w:cs="Times New Roman"/>
      <w:sz w:val="20"/>
      <w:szCs w:val="20"/>
      <w:lang w:val="x-none"/>
    </w:rPr>
  </w:style>
  <w:style w:type="paragraph" w:styleId="NormalWeb">
    <w:name w:val="Normal (Web)"/>
    <w:basedOn w:val="Normal"/>
    <w:uiPriority w:val="99"/>
    <w:rsid w:val="00B453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B453C4"/>
    <w:rPr>
      <w:color w:val="800080"/>
      <w:u w:val="single"/>
    </w:rPr>
  </w:style>
  <w:style w:type="paragraph" w:styleId="BlockText">
    <w:name w:val="Block Text"/>
    <w:basedOn w:val="Normal"/>
    <w:rsid w:val="00B453C4"/>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B453C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B453C4"/>
    <w:pPr>
      <w:tabs>
        <w:tab w:val="left" w:pos="440"/>
        <w:tab w:val="right" w:leader="dot" w:pos="9016"/>
      </w:tabs>
    </w:pPr>
    <w:rPr>
      <w:rFonts w:ascii="Calibri" w:eastAsia="Calibri" w:hAnsi="Calibri" w:cs="Calibri"/>
      <w:lang w:eastAsia="en-US"/>
    </w:rPr>
  </w:style>
  <w:style w:type="paragraph" w:customStyle="1" w:styleId="Default">
    <w:name w:val="Default"/>
    <w:rsid w:val="00B453C4"/>
    <w:pPr>
      <w:autoSpaceDE w:val="0"/>
      <w:autoSpaceDN w:val="0"/>
      <w:adjustRightInd w:val="0"/>
      <w:spacing w:after="0" w:line="240" w:lineRule="auto"/>
    </w:pPr>
    <w:rPr>
      <w:rFonts w:ascii="ITC Franklin Gothic Book" w:eastAsia="Calibri" w:hAnsi="ITC Franklin Gothic Book" w:cs="ITC Franklin Gothic Book"/>
      <w:color w:val="000000"/>
      <w:sz w:val="24"/>
      <w:szCs w:val="24"/>
      <w:lang w:eastAsia="en-GB"/>
    </w:rPr>
  </w:style>
  <w:style w:type="paragraph" w:customStyle="1" w:styleId="Pa0">
    <w:name w:val="Pa0"/>
    <w:basedOn w:val="Default"/>
    <w:next w:val="Default"/>
    <w:uiPriority w:val="99"/>
    <w:rsid w:val="00B453C4"/>
    <w:pPr>
      <w:spacing w:line="56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52"/>
    <w:rPr>
      <w:rFonts w:eastAsiaTheme="minorEastAsia"/>
      <w:lang w:eastAsia="en-GB"/>
    </w:rPr>
  </w:style>
  <w:style w:type="paragraph" w:styleId="Heading1">
    <w:name w:val="heading 1"/>
    <w:basedOn w:val="Normal"/>
    <w:next w:val="Normal"/>
    <w:link w:val="Heading1Char"/>
    <w:uiPriority w:val="9"/>
    <w:qFormat/>
    <w:rsid w:val="00B453C4"/>
    <w:pPr>
      <w:keepNext/>
      <w:spacing w:before="240" w:after="60"/>
      <w:outlineLvl w:val="0"/>
    </w:pPr>
    <w:rPr>
      <w:rFonts w:ascii="Cambria" w:eastAsia="Times New Roman" w:hAnsi="Cambria" w:cs="Times New Roman"/>
      <w:b/>
      <w:bCs/>
      <w:kern w:val="32"/>
      <w:sz w:val="32"/>
      <w:szCs w:val="3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9931BE"/>
    <w:pPr>
      <w:ind w:left="720"/>
      <w:contextualSpacing/>
    </w:pPr>
  </w:style>
  <w:style w:type="character" w:customStyle="1" w:styleId="ListParagraphChar">
    <w:name w:val="List Paragraph Char"/>
    <w:basedOn w:val="DefaultParagraphFont"/>
    <w:link w:val="ListParagraph"/>
    <w:uiPriority w:val="99"/>
    <w:locked/>
    <w:rsid w:val="009931BE"/>
    <w:rPr>
      <w:rFonts w:eastAsiaTheme="minorEastAsia"/>
      <w:lang w:eastAsia="en-GB"/>
    </w:rPr>
  </w:style>
  <w:style w:type="character" w:customStyle="1" w:styleId="Heading1Char">
    <w:name w:val="Heading 1 Char"/>
    <w:basedOn w:val="DefaultParagraphFont"/>
    <w:link w:val="Heading1"/>
    <w:uiPriority w:val="9"/>
    <w:rsid w:val="00B453C4"/>
    <w:rPr>
      <w:rFonts w:ascii="Cambria" w:eastAsia="Times New Roman" w:hAnsi="Cambria" w:cs="Times New Roman"/>
      <w:b/>
      <w:bCs/>
      <w:kern w:val="32"/>
      <w:sz w:val="32"/>
      <w:szCs w:val="32"/>
      <w:lang w:val="x-none"/>
    </w:rPr>
  </w:style>
  <w:style w:type="paragraph" w:styleId="Header">
    <w:name w:val="header"/>
    <w:basedOn w:val="Normal"/>
    <w:link w:val="HeaderChar"/>
    <w:uiPriority w:val="99"/>
    <w:unhideWhenUsed/>
    <w:rsid w:val="00B45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3C4"/>
    <w:rPr>
      <w:rFonts w:eastAsiaTheme="minorEastAsia"/>
      <w:lang w:eastAsia="en-GB"/>
    </w:rPr>
  </w:style>
  <w:style w:type="paragraph" w:styleId="Footer">
    <w:name w:val="footer"/>
    <w:basedOn w:val="Normal"/>
    <w:link w:val="FooterChar"/>
    <w:uiPriority w:val="99"/>
    <w:unhideWhenUsed/>
    <w:rsid w:val="00B45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3C4"/>
    <w:rPr>
      <w:rFonts w:eastAsiaTheme="minorEastAsia"/>
      <w:lang w:eastAsia="en-GB"/>
    </w:rPr>
  </w:style>
  <w:style w:type="character" w:styleId="CommentReference">
    <w:name w:val="annotation reference"/>
    <w:basedOn w:val="DefaultParagraphFont"/>
    <w:uiPriority w:val="99"/>
    <w:semiHidden/>
    <w:unhideWhenUsed/>
    <w:rsid w:val="00B453C4"/>
    <w:rPr>
      <w:sz w:val="16"/>
      <w:szCs w:val="16"/>
    </w:rPr>
  </w:style>
  <w:style w:type="paragraph" w:styleId="CommentText">
    <w:name w:val="annotation text"/>
    <w:basedOn w:val="Normal"/>
    <w:link w:val="CommentTextChar"/>
    <w:uiPriority w:val="99"/>
    <w:semiHidden/>
    <w:unhideWhenUsed/>
    <w:rsid w:val="00B453C4"/>
    <w:pPr>
      <w:spacing w:line="240" w:lineRule="auto"/>
    </w:pPr>
    <w:rPr>
      <w:sz w:val="20"/>
      <w:szCs w:val="20"/>
    </w:rPr>
  </w:style>
  <w:style w:type="character" w:customStyle="1" w:styleId="CommentTextChar">
    <w:name w:val="Comment Text Char"/>
    <w:basedOn w:val="DefaultParagraphFont"/>
    <w:link w:val="CommentText"/>
    <w:uiPriority w:val="99"/>
    <w:semiHidden/>
    <w:rsid w:val="00B453C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453C4"/>
    <w:rPr>
      <w:b/>
      <w:bCs/>
    </w:rPr>
  </w:style>
  <w:style w:type="character" w:customStyle="1" w:styleId="CommentSubjectChar">
    <w:name w:val="Comment Subject Char"/>
    <w:basedOn w:val="CommentTextChar"/>
    <w:link w:val="CommentSubject"/>
    <w:uiPriority w:val="99"/>
    <w:semiHidden/>
    <w:rsid w:val="00B453C4"/>
    <w:rPr>
      <w:rFonts w:eastAsiaTheme="minorEastAsia"/>
      <w:b/>
      <w:bCs/>
      <w:sz w:val="20"/>
      <w:szCs w:val="20"/>
      <w:lang w:eastAsia="en-GB"/>
    </w:rPr>
  </w:style>
  <w:style w:type="paragraph" w:styleId="BalloonText">
    <w:name w:val="Balloon Text"/>
    <w:basedOn w:val="Normal"/>
    <w:link w:val="BalloonTextChar"/>
    <w:uiPriority w:val="99"/>
    <w:semiHidden/>
    <w:unhideWhenUsed/>
    <w:rsid w:val="00B45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3C4"/>
    <w:rPr>
      <w:rFonts w:ascii="Tahoma" w:eastAsiaTheme="minorEastAsia" w:hAnsi="Tahoma" w:cs="Tahoma"/>
      <w:sz w:val="16"/>
      <w:szCs w:val="16"/>
      <w:lang w:eastAsia="en-GB"/>
    </w:rPr>
  </w:style>
  <w:style w:type="paragraph" w:styleId="BodyText2">
    <w:name w:val="Body Text 2"/>
    <w:basedOn w:val="Normal"/>
    <w:link w:val="BodyText2Char"/>
    <w:uiPriority w:val="99"/>
    <w:rsid w:val="00B453C4"/>
    <w:pPr>
      <w:spacing w:after="0" w:line="240" w:lineRule="auto"/>
      <w:jc w:val="center"/>
    </w:pPr>
    <w:rPr>
      <w:rFonts w:ascii="Arial" w:eastAsia="Calibri" w:hAnsi="Arial" w:cs="Arial"/>
      <w:sz w:val="20"/>
      <w:szCs w:val="20"/>
    </w:rPr>
  </w:style>
  <w:style w:type="character" w:customStyle="1" w:styleId="BodyText2Char">
    <w:name w:val="Body Text 2 Char"/>
    <w:basedOn w:val="DefaultParagraphFont"/>
    <w:link w:val="BodyText2"/>
    <w:uiPriority w:val="99"/>
    <w:rsid w:val="00B453C4"/>
    <w:rPr>
      <w:rFonts w:ascii="Arial" w:eastAsia="Calibri" w:hAnsi="Arial" w:cs="Arial"/>
      <w:sz w:val="20"/>
      <w:szCs w:val="20"/>
      <w:lang w:eastAsia="en-GB"/>
    </w:rPr>
  </w:style>
  <w:style w:type="character" w:styleId="Hyperlink">
    <w:name w:val="Hyperlink"/>
    <w:basedOn w:val="DefaultParagraphFont"/>
    <w:uiPriority w:val="99"/>
    <w:rsid w:val="00B453C4"/>
    <w:rPr>
      <w:color w:val="0000FF"/>
      <w:u w:val="single"/>
    </w:rPr>
  </w:style>
  <w:style w:type="table" w:styleId="TableGrid">
    <w:name w:val="Table Grid"/>
    <w:basedOn w:val="TableNormal"/>
    <w:uiPriority w:val="59"/>
    <w:rsid w:val="00B453C4"/>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B453C4"/>
    <w:pPr>
      <w:spacing w:after="0" w:line="240" w:lineRule="auto"/>
    </w:pPr>
    <w:rPr>
      <w:rFonts w:ascii="Calibri" w:eastAsia="Calibri" w:hAnsi="Calibri" w:cs="Times New Roman"/>
      <w:sz w:val="20"/>
      <w:szCs w:val="20"/>
      <w:lang w:val="x-none" w:eastAsia="en-US"/>
    </w:rPr>
  </w:style>
  <w:style w:type="character" w:customStyle="1" w:styleId="BodyTextChar">
    <w:name w:val="Body Text Char"/>
    <w:basedOn w:val="DefaultParagraphFont"/>
    <w:link w:val="BodyText"/>
    <w:uiPriority w:val="99"/>
    <w:rsid w:val="00B453C4"/>
    <w:rPr>
      <w:rFonts w:ascii="Calibri" w:eastAsia="Calibri" w:hAnsi="Calibri" w:cs="Times New Roman"/>
      <w:sz w:val="20"/>
      <w:szCs w:val="20"/>
      <w:lang w:val="x-none"/>
    </w:rPr>
  </w:style>
  <w:style w:type="paragraph" w:styleId="PlainText">
    <w:name w:val="Plain Text"/>
    <w:basedOn w:val="Normal"/>
    <w:link w:val="PlainTextChar"/>
    <w:uiPriority w:val="99"/>
    <w:rsid w:val="00B453C4"/>
    <w:pPr>
      <w:spacing w:after="0" w:line="240" w:lineRule="auto"/>
    </w:pPr>
    <w:rPr>
      <w:rFonts w:ascii="Courier New" w:eastAsia="Calibri" w:hAnsi="Courier New" w:cs="Times New Roman"/>
      <w:sz w:val="20"/>
      <w:szCs w:val="20"/>
      <w:lang w:val="x-none" w:eastAsia="en-US"/>
    </w:rPr>
  </w:style>
  <w:style w:type="character" w:customStyle="1" w:styleId="PlainTextChar">
    <w:name w:val="Plain Text Char"/>
    <w:basedOn w:val="DefaultParagraphFont"/>
    <w:link w:val="PlainText"/>
    <w:uiPriority w:val="99"/>
    <w:rsid w:val="00B453C4"/>
    <w:rPr>
      <w:rFonts w:ascii="Courier New" w:eastAsia="Calibri" w:hAnsi="Courier New" w:cs="Times New Roman"/>
      <w:sz w:val="20"/>
      <w:szCs w:val="20"/>
      <w:lang w:val="x-none"/>
    </w:rPr>
  </w:style>
  <w:style w:type="paragraph" w:styleId="FootnoteText">
    <w:name w:val="footnote text"/>
    <w:basedOn w:val="Normal"/>
    <w:link w:val="FootnoteTextChar"/>
    <w:uiPriority w:val="99"/>
    <w:semiHidden/>
    <w:rsid w:val="00B453C4"/>
    <w:rPr>
      <w:rFonts w:ascii="Calibri" w:eastAsia="Calibri" w:hAnsi="Calibri" w:cs="Times New Roman"/>
      <w:sz w:val="20"/>
      <w:szCs w:val="20"/>
      <w:lang w:val="x-none" w:eastAsia="en-US"/>
    </w:rPr>
  </w:style>
  <w:style w:type="character" w:customStyle="1" w:styleId="FootnoteTextChar">
    <w:name w:val="Footnote Text Char"/>
    <w:basedOn w:val="DefaultParagraphFont"/>
    <w:link w:val="FootnoteText"/>
    <w:uiPriority w:val="99"/>
    <w:semiHidden/>
    <w:rsid w:val="00B453C4"/>
    <w:rPr>
      <w:rFonts w:ascii="Calibri" w:eastAsia="Calibri" w:hAnsi="Calibri" w:cs="Times New Roman"/>
      <w:sz w:val="20"/>
      <w:szCs w:val="20"/>
      <w:lang w:val="x-none"/>
    </w:rPr>
  </w:style>
  <w:style w:type="paragraph" w:styleId="NormalWeb">
    <w:name w:val="Normal (Web)"/>
    <w:basedOn w:val="Normal"/>
    <w:uiPriority w:val="99"/>
    <w:rsid w:val="00B453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rsid w:val="00B453C4"/>
    <w:rPr>
      <w:color w:val="800080"/>
      <w:u w:val="single"/>
    </w:rPr>
  </w:style>
  <w:style w:type="paragraph" w:styleId="BlockText">
    <w:name w:val="Block Text"/>
    <w:basedOn w:val="Normal"/>
    <w:rsid w:val="00B453C4"/>
    <w:pPr>
      <w:spacing w:after="0" w:line="240" w:lineRule="auto"/>
      <w:ind w:left="720" w:right="-331" w:hanging="360"/>
      <w:jc w:val="both"/>
    </w:pPr>
    <w:rPr>
      <w:rFonts w:ascii="Times New Roman" w:eastAsia="Times New Roman" w:hAnsi="Times New Roman" w:cs="Times New Roman"/>
      <w:sz w:val="20"/>
      <w:szCs w:val="20"/>
      <w:lang w:eastAsia="ja-JP"/>
    </w:rPr>
  </w:style>
  <w:style w:type="paragraph" w:styleId="TOCHeading">
    <w:name w:val="TOC Heading"/>
    <w:basedOn w:val="Heading1"/>
    <w:next w:val="Normal"/>
    <w:uiPriority w:val="39"/>
    <w:semiHidden/>
    <w:unhideWhenUsed/>
    <w:qFormat/>
    <w:rsid w:val="00B453C4"/>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B453C4"/>
    <w:pPr>
      <w:tabs>
        <w:tab w:val="left" w:pos="440"/>
        <w:tab w:val="right" w:leader="dot" w:pos="9016"/>
      </w:tabs>
    </w:pPr>
    <w:rPr>
      <w:rFonts w:ascii="Calibri" w:eastAsia="Calibri" w:hAnsi="Calibri" w:cs="Calibri"/>
      <w:lang w:eastAsia="en-US"/>
    </w:rPr>
  </w:style>
  <w:style w:type="paragraph" w:customStyle="1" w:styleId="Default">
    <w:name w:val="Default"/>
    <w:rsid w:val="00B453C4"/>
    <w:pPr>
      <w:autoSpaceDE w:val="0"/>
      <w:autoSpaceDN w:val="0"/>
      <w:adjustRightInd w:val="0"/>
      <w:spacing w:after="0" w:line="240" w:lineRule="auto"/>
    </w:pPr>
    <w:rPr>
      <w:rFonts w:ascii="ITC Franklin Gothic Book" w:eastAsia="Calibri" w:hAnsi="ITC Franklin Gothic Book" w:cs="ITC Franklin Gothic Book"/>
      <w:color w:val="000000"/>
      <w:sz w:val="24"/>
      <w:szCs w:val="24"/>
      <w:lang w:eastAsia="en-GB"/>
    </w:rPr>
  </w:style>
  <w:style w:type="paragraph" w:customStyle="1" w:styleId="Pa0">
    <w:name w:val="Pa0"/>
    <w:basedOn w:val="Default"/>
    <w:next w:val="Default"/>
    <w:uiPriority w:val="99"/>
    <w:rsid w:val="00B453C4"/>
    <w:pPr>
      <w:spacing w:line="5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uthor0 xmlns="D259749B-A2FA-4762-BAAE-748A846B9902">
      <UserInfo>
        <DisplayName>i:0#.w|staff\kparker</DisplayName>
        <AccountId>45</AccountId>
        <AccountType/>
      </UserInfo>
    </Author0>
    <_Status xmlns="http://schemas.microsoft.com/sharepoint/v3/fields">People</_Status>
    <School_x002f_PS xmlns="D259749B-A2FA-4762-BAAE-748A846B9902">
      <Value>6</Value>
    </School_x002f_PS>
    <Description0 xmlns="D259749B-A2FA-4762-BAAE-748A846B9902">Relocation Policy</Description0>
    <Target_x0020_Audiences xmlns="D259749B-A2FA-4762-BAAE-748A846B9902">;;;;Staff Readers</Target_x0020_Audiences>
    <Expiry_x0020_Date xmlns="D259749B-A2FA-4762-BAAE-748A846B9902">2019-08-30T23:00:00+00:00</Expiry_x0020_Date>
    <Published_x0020_Date xmlns="D259749B-A2FA-4762-BAAE-748A846B9902">2014-09-22T23:00:00+00:00</Published_x0020_Date>
    <_dlc_DocId xmlns="7845b4e5-581f-4554-8843-a411c9829904">ZXDD766ENQDJ-737846793-2009</_dlc_DocId>
    <_dlc_DocIdUrl xmlns="7845b4e5-581f-4554-8843-a411c9829904">
      <Url>https://newintranetsp.bournemouth.ac.uk/_layouts/15/DocIdRedir.aspx?ID=ZXDD766ENQDJ-737846793-2009</Url>
      <Description>ZXDD766ENQDJ-737846793-2009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54AEE-1A9A-4ED5-8E55-1FA7C3B930AE}">
  <ds:schemaRefs>
    <ds:schemaRef ds:uri="http://schemas.microsoft.com/sharepoint/events"/>
  </ds:schemaRefs>
</ds:datastoreItem>
</file>

<file path=customXml/itemProps2.xml><?xml version="1.0" encoding="utf-8"?>
<ds:datastoreItem xmlns:ds="http://schemas.openxmlformats.org/officeDocument/2006/customXml" ds:itemID="{A4FBC469-8C69-409A-A155-588094543E66}">
  <ds:schemaRefs>
    <ds:schemaRef ds:uri="http://schemas.microsoft.com/office/2006/metadata/properties"/>
    <ds:schemaRef ds:uri="http://purl.org/dc/elements/1.1/"/>
    <ds:schemaRef ds:uri="D259749B-A2FA-4762-BAAE-748A846B9902"/>
    <ds:schemaRef ds:uri="http://purl.org/dc/terms/"/>
    <ds:schemaRef ds:uri="http://schemas.microsoft.com/sharepoint/v3/fields"/>
    <ds:schemaRef ds:uri="http://schemas.openxmlformats.org/package/2006/metadata/core-properties"/>
    <ds:schemaRef ds:uri="http://schemas.microsoft.com/office/infopath/2007/PartnerControls"/>
    <ds:schemaRef ds:uri="http://schemas.microsoft.com/office/2006/documentManagement/types"/>
    <ds:schemaRef ds:uri="7845b4e5-581f-4554-8843-a411c9829904"/>
    <ds:schemaRef ds:uri="http://www.w3.org/XML/1998/namespace"/>
    <ds:schemaRef ds:uri="http://purl.org/dc/dcmitype/"/>
  </ds:schemaRefs>
</ds:datastoreItem>
</file>

<file path=customXml/itemProps3.xml><?xml version="1.0" encoding="utf-8"?>
<ds:datastoreItem xmlns:ds="http://schemas.openxmlformats.org/officeDocument/2006/customXml" ds:itemID="{06248872-D14D-47F3-92C2-67757C087178}">
  <ds:schemaRefs>
    <ds:schemaRef ds:uri="http://schemas.microsoft.com/sharepoint/v3/contenttype/forms"/>
  </ds:schemaRefs>
</ds:datastoreItem>
</file>

<file path=customXml/itemProps4.xml><?xml version="1.0" encoding="utf-8"?>
<ds:datastoreItem xmlns:ds="http://schemas.openxmlformats.org/officeDocument/2006/customXml" ds:itemID="{EAC74439-45BB-4FAA-B5BF-F32A2784FD39}"/>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Relocation Policy</vt:lpstr>
    </vt:vector>
  </TitlesOfParts>
  <Company>Bournemouth University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Policy</dc:title>
  <dc:creator>Danielle,Wyman</dc:creator>
  <cp:keywords>Relocation Policy</cp:keywords>
  <cp:lastModifiedBy>Leanne,Sedman</cp:lastModifiedBy>
  <cp:revision>3</cp:revision>
  <dcterms:created xsi:type="dcterms:W3CDTF">2020-02-04T09:30:00Z</dcterms:created>
  <dcterms:modified xsi:type="dcterms:W3CDTF">2020-03-06T08:15:00Z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31598720-f744-40e8-bdd1-27bbcb54b0cf</vt:lpwstr>
  </property>
  <property fmtid="{D5CDD505-2E9C-101B-9397-08002B2CF9AE}" pid="4" name="FileLeafRef">
    <vt:lpwstr>Relocation Policy.docx</vt:lpwstr>
  </property>
  <property fmtid="{D5CDD505-2E9C-101B-9397-08002B2CF9AE}" pid="5" name="source_item_id">
    <vt:lpwstr>1548</vt:lpwstr>
  </property>
</Properties>
</file>